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:rsidR="00067522" w:rsidRPr="006569A2" w:rsidRDefault="00E55563" w:rsidP="00072B62">
      <w:pPr>
        <w:pStyle w:val="Title"/>
        <w:ind w:left="-567"/>
        <w:jc w:val="left"/>
        <w:rPr>
          <w:rFonts w:cs="Arial"/>
          <w:color w:val="FFFFFF" w:themeColor="background1"/>
          <w:sz w:val="48"/>
          <w:szCs w:val="48"/>
        </w:rPr>
      </w:pPr>
      <w:bookmarkStart w:id="0" w:name="_GoBack"/>
      <w:bookmarkEnd w:id="0"/>
      <w:r w:rsidRPr="006569A2">
        <w:rPr>
          <w:rFonts w:cs="Arial"/>
          <w:color w:val="FFFFFF" w:themeColor="background1"/>
          <w:sz w:val="48"/>
          <w:szCs w:val="48"/>
        </w:rPr>
        <w:t>STATEMENT OF ACCOUNTABILITY</w:t>
      </w:r>
      <w:r w:rsidR="00705188" w:rsidRPr="006569A2">
        <w:rPr>
          <w:rFonts w:cs="Arial"/>
          <w:color w:val="FFFFFF" w:themeColor="background1"/>
          <w:sz w:val="48"/>
          <w:szCs w:val="48"/>
        </w:rPr>
        <w:br/>
        <w:t xml:space="preserve">Clinical Director, </w:t>
      </w:r>
      <w:r w:rsidR="00B83391">
        <w:rPr>
          <w:rFonts w:cs="Arial"/>
          <w:color w:val="FFFFFF" w:themeColor="background1"/>
          <w:sz w:val="48"/>
          <w:szCs w:val="48"/>
        </w:rPr>
        <w:t>Radiation</w:t>
      </w:r>
      <w:r w:rsidR="00685355">
        <w:rPr>
          <w:rFonts w:cs="Arial"/>
          <w:color w:val="FFFFFF" w:themeColor="background1"/>
          <w:sz w:val="48"/>
          <w:szCs w:val="48"/>
        </w:rPr>
        <w:t xml:space="preserve"> Oncology</w:t>
      </w:r>
    </w:p>
    <w:p w:rsidR="00072B62" w:rsidRPr="00971FC8" w:rsidRDefault="00072B62" w:rsidP="00072B62">
      <w:pPr>
        <w:rPr>
          <w:rFonts w:ascii="Arial" w:hAnsi="Arial" w:cs="Arial"/>
        </w:rPr>
      </w:pPr>
    </w:p>
    <w:tbl>
      <w:tblPr>
        <w:tblStyle w:val="TableGrid"/>
        <w:tblW w:w="100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663"/>
      </w:tblGrid>
      <w:tr w:rsidR="00680C0C" w:rsidRPr="00971FC8" w:rsidTr="006B4D9E">
        <w:tc>
          <w:tcPr>
            <w:tcW w:w="3402" w:type="dxa"/>
            <w:shd w:val="clear" w:color="auto" w:fill="FFFFFF" w:themeFill="background1"/>
          </w:tcPr>
          <w:p w:rsidR="00680C0C" w:rsidRPr="00971FC8" w:rsidRDefault="00680C0C" w:rsidP="00072B62">
            <w:pPr>
              <w:rPr>
                <w:rFonts w:ascii="Arial" w:hAnsi="Arial" w:cs="Arial"/>
                <w:b/>
                <w:color w:val="FF0000"/>
              </w:rPr>
            </w:pPr>
            <w:r w:rsidRPr="00971FC8">
              <w:rPr>
                <w:rFonts w:ascii="Arial" w:hAnsi="Arial" w:cs="Arial"/>
                <w:b/>
                <w:color w:val="FF0000"/>
              </w:rPr>
              <w:t>Position title:</w:t>
            </w:r>
          </w:p>
        </w:tc>
        <w:tc>
          <w:tcPr>
            <w:tcW w:w="6663" w:type="dxa"/>
            <w:shd w:val="clear" w:color="auto" w:fill="FFFFFF" w:themeFill="background1"/>
          </w:tcPr>
          <w:p w:rsidR="00680C0C" w:rsidRPr="00971FC8" w:rsidRDefault="00680C0C" w:rsidP="00685355">
            <w:p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>Clinical Director</w:t>
            </w:r>
            <w:r w:rsidR="00685355">
              <w:rPr>
                <w:rFonts w:ascii="Arial" w:hAnsi="Arial" w:cs="Arial"/>
                <w:sz w:val="20"/>
              </w:rPr>
              <w:t xml:space="preserve"> </w:t>
            </w:r>
            <w:r w:rsidR="00B83391">
              <w:rPr>
                <w:rFonts w:ascii="Arial" w:hAnsi="Arial" w:cs="Arial"/>
                <w:sz w:val="20"/>
              </w:rPr>
              <w:t>Radiation</w:t>
            </w:r>
            <w:r w:rsidR="00685355">
              <w:rPr>
                <w:rFonts w:ascii="Arial" w:hAnsi="Arial" w:cs="Arial"/>
                <w:sz w:val="20"/>
              </w:rPr>
              <w:t xml:space="preserve"> Oncology</w:t>
            </w:r>
          </w:p>
        </w:tc>
      </w:tr>
      <w:tr w:rsidR="00680C0C" w:rsidRPr="00971FC8" w:rsidTr="00EC39AA">
        <w:trPr>
          <w:trHeight w:val="635"/>
        </w:trPr>
        <w:tc>
          <w:tcPr>
            <w:tcW w:w="3402" w:type="dxa"/>
            <w:shd w:val="clear" w:color="auto" w:fill="FFFFFF" w:themeFill="background1"/>
          </w:tcPr>
          <w:p w:rsidR="00680C0C" w:rsidRPr="00971FC8" w:rsidRDefault="00680C0C" w:rsidP="00072B62">
            <w:pPr>
              <w:rPr>
                <w:rFonts w:ascii="Arial" w:hAnsi="Arial" w:cs="Arial"/>
                <w:b/>
                <w:color w:val="FF0000"/>
              </w:rPr>
            </w:pPr>
            <w:r w:rsidRPr="00971FC8">
              <w:rPr>
                <w:rFonts w:ascii="Arial" w:hAnsi="Arial" w:cs="Arial"/>
                <w:b/>
                <w:color w:val="FF0000"/>
              </w:rPr>
              <w:t>Reports to:</w:t>
            </w:r>
          </w:p>
        </w:tc>
        <w:tc>
          <w:tcPr>
            <w:tcW w:w="6663" w:type="dxa"/>
            <w:shd w:val="clear" w:color="auto" w:fill="FFFFFF" w:themeFill="background1"/>
          </w:tcPr>
          <w:p w:rsidR="00680C0C" w:rsidRPr="00971FC8" w:rsidRDefault="003B5C68" w:rsidP="006853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685355">
              <w:rPr>
                <w:rFonts w:ascii="Arial" w:hAnsi="Arial" w:cs="Arial"/>
                <w:sz w:val="20"/>
              </w:rPr>
              <w:t>h</w:t>
            </w:r>
            <w:r w:rsidR="009947CB">
              <w:rPr>
                <w:rFonts w:ascii="Arial" w:hAnsi="Arial" w:cs="Arial"/>
                <w:sz w:val="20"/>
              </w:rPr>
              <w:t>ief</w:t>
            </w:r>
            <w:r w:rsidR="00685355">
              <w:rPr>
                <w:rFonts w:ascii="Arial" w:hAnsi="Arial" w:cs="Arial"/>
                <w:sz w:val="20"/>
              </w:rPr>
              <w:t xml:space="preserve"> of Oncology, Haematology and Palliative Care Cluster</w:t>
            </w:r>
            <w:r w:rsidRPr="00A26356">
              <w:rPr>
                <w:rFonts w:ascii="Arial" w:hAnsi="Arial" w:cs="Arial"/>
                <w:sz w:val="20"/>
                <w:highlight w:val="yellow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80C0C" w:rsidRPr="00971FC8">
              <w:rPr>
                <w:rFonts w:ascii="Arial" w:hAnsi="Arial" w:cs="Arial"/>
                <w:sz w:val="20"/>
              </w:rPr>
              <w:t xml:space="preserve">Chief Medical Officer [CMO] and General Manager, </w:t>
            </w:r>
            <w:r w:rsidR="00EC39AA">
              <w:rPr>
                <w:rFonts w:ascii="Arial" w:hAnsi="Arial" w:cs="Arial"/>
                <w:sz w:val="20"/>
              </w:rPr>
              <w:t>Christchurch Hospital</w:t>
            </w:r>
          </w:p>
        </w:tc>
      </w:tr>
      <w:tr w:rsidR="00680C0C" w:rsidRPr="00971FC8" w:rsidTr="006B4D9E">
        <w:tc>
          <w:tcPr>
            <w:tcW w:w="3402" w:type="dxa"/>
            <w:shd w:val="clear" w:color="auto" w:fill="FFFFFF" w:themeFill="background1"/>
          </w:tcPr>
          <w:p w:rsidR="00680C0C" w:rsidRPr="00971FC8" w:rsidRDefault="00680C0C" w:rsidP="00072B62">
            <w:pPr>
              <w:rPr>
                <w:rFonts w:ascii="Arial" w:hAnsi="Arial" w:cs="Arial"/>
                <w:b/>
                <w:color w:val="FF0000"/>
              </w:rPr>
            </w:pPr>
            <w:r w:rsidRPr="00971FC8">
              <w:rPr>
                <w:rFonts w:ascii="Arial" w:hAnsi="Arial" w:cs="Arial"/>
                <w:b/>
                <w:color w:val="FF0000"/>
              </w:rPr>
              <w:t>Term of Position:</w:t>
            </w:r>
          </w:p>
        </w:tc>
        <w:tc>
          <w:tcPr>
            <w:tcW w:w="6663" w:type="dxa"/>
            <w:shd w:val="clear" w:color="auto" w:fill="FFFFFF" w:themeFill="background1"/>
          </w:tcPr>
          <w:p w:rsidR="00680C0C" w:rsidRPr="00971FC8" w:rsidRDefault="0011367F" w:rsidP="00072B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years</w:t>
            </w:r>
          </w:p>
        </w:tc>
      </w:tr>
    </w:tbl>
    <w:p w:rsidR="00680C0C" w:rsidRPr="00971FC8" w:rsidRDefault="00680C0C" w:rsidP="00072B62">
      <w:pPr>
        <w:ind w:hanging="567"/>
        <w:rPr>
          <w:rFonts w:ascii="Arial" w:hAnsi="Arial" w:cs="Arial"/>
        </w:rPr>
      </w:pPr>
    </w:p>
    <w:tbl>
      <w:tblPr>
        <w:tblStyle w:val="TableGrid"/>
        <w:tblW w:w="100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663"/>
      </w:tblGrid>
      <w:tr w:rsidR="00072B62" w:rsidRPr="00971FC8" w:rsidTr="006B4D9E">
        <w:tc>
          <w:tcPr>
            <w:tcW w:w="3402" w:type="dxa"/>
            <w:shd w:val="clear" w:color="auto" w:fill="FFFFFF" w:themeFill="background1"/>
          </w:tcPr>
          <w:p w:rsidR="00072B62" w:rsidRPr="00971FC8" w:rsidRDefault="00072B62" w:rsidP="00072B62">
            <w:pPr>
              <w:pStyle w:val="Heading3"/>
              <w:numPr>
                <w:ilvl w:val="0"/>
                <w:numId w:val="0"/>
              </w:numPr>
              <w:tabs>
                <w:tab w:val="left" w:pos="5387"/>
              </w:tabs>
              <w:rPr>
                <w:rFonts w:ascii="Arial" w:hAnsi="Arial" w:cs="Arial"/>
                <w:color w:val="FF0000"/>
              </w:rPr>
            </w:pPr>
            <w:r w:rsidRPr="00971FC8">
              <w:rPr>
                <w:rFonts w:ascii="Arial" w:hAnsi="Arial" w:cs="Arial"/>
                <w:color w:val="FF0000"/>
              </w:rPr>
              <w:t>Our team accountability</w:t>
            </w:r>
          </w:p>
          <w:p w:rsidR="00072B62" w:rsidRPr="00971FC8" w:rsidRDefault="00072B62" w:rsidP="00894F7A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:rsidR="00072B62" w:rsidRPr="00971FC8" w:rsidRDefault="00072B62" w:rsidP="00072B62">
            <w:pPr>
              <w:rPr>
                <w:rFonts w:ascii="Arial" w:hAnsi="Arial" w:cs="Arial"/>
                <w:sz w:val="20"/>
              </w:rPr>
            </w:pPr>
          </w:p>
          <w:p w:rsidR="00072B62" w:rsidRPr="00971FC8" w:rsidRDefault="00072B62" w:rsidP="00072B62">
            <w:p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 xml:space="preserve">Chiefs, Chairs and Clinical Directors share accountability for: </w:t>
            </w:r>
          </w:p>
          <w:p w:rsidR="00072B62" w:rsidRPr="00971FC8" w:rsidRDefault="00072B62" w:rsidP="00072B6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 xml:space="preserve">Engaging medical teams, the Canterbury DHB and Our Health System to build trust, common understanding and ownership </w:t>
            </w:r>
          </w:p>
          <w:p w:rsidR="00072B62" w:rsidRPr="00971FC8" w:rsidRDefault="00072B62" w:rsidP="00072B6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 xml:space="preserve">Growing clinical service teams’ understanding of, and engagement with, the Purpose [vision and goals] for the Canterbury health system </w:t>
            </w:r>
          </w:p>
          <w:p w:rsidR="00072B62" w:rsidRPr="00971FC8" w:rsidRDefault="00072B62" w:rsidP="00072B6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 xml:space="preserve">Defining and aligning clinical services direction and plans, establishing clear Priority, making sure all teams know the accountability they share and every team member has clear and agreed responsibility </w:t>
            </w:r>
          </w:p>
          <w:p w:rsidR="00072B62" w:rsidRPr="00971FC8" w:rsidRDefault="00072B62" w:rsidP="00072B6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 xml:space="preserve">Building </w:t>
            </w:r>
            <w:r w:rsidR="007B65A0">
              <w:rPr>
                <w:rFonts w:ascii="Arial" w:hAnsi="Arial" w:cs="Arial"/>
                <w:sz w:val="20"/>
              </w:rPr>
              <w:t>M</w:t>
            </w:r>
            <w:r w:rsidRPr="00971FC8">
              <w:rPr>
                <w:rFonts w:ascii="Arial" w:hAnsi="Arial" w:cs="Arial"/>
                <w:sz w:val="20"/>
              </w:rPr>
              <w:t xml:space="preserve">edical People capability </w:t>
            </w:r>
          </w:p>
          <w:p w:rsidR="00072B62" w:rsidRPr="00971FC8" w:rsidRDefault="00072B62" w:rsidP="00072B6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 xml:space="preserve">Communicating, so that within services, the Canterbury DHB and Our Health System, everyone remains aligned with and informed about clinical services plans, priority and progress </w:t>
            </w:r>
          </w:p>
          <w:p w:rsidR="00072B62" w:rsidRPr="00971FC8" w:rsidRDefault="00072B62" w:rsidP="00072B62">
            <w:p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>Chiefs, Chairs and Clinical Directors also share accountability for monitoring and maintaining standards of clinical practice; clinical legislative and policy compliance; and, with operational and service managers, enhancing patient care and the patient journey, improving service delivery and planning effective resource allocation and use</w:t>
            </w:r>
          </w:p>
          <w:p w:rsidR="00072B62" w:rsidRPr="00971FC8" w:rsidRDefault="00072B62" w:rsidP="00894F7A">
            <w:pPr>
              <w:rPr>
                <w:rFonts w:ascii="Arial" w:hAnsi="Arial" w:cs="Arial"/>
                <w:sz w:val="20"/>
              </w:rPr>
            </w:pPr>
          </w:p>
        </w:tc>
      </w:tr>
    </w:tbl>
    <w:p w:rsidR="007C71ED" w:rsidRPr="00971FC8" w:rsidRDefault="007C71ED" w:rsidP="00894F7A">
      <w:pPr>
        <w:rPr>
          <w:rFonts w:ascii="Arial" w:hAnsi="Arial" w:cs="Arial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663"/>
      </w:tblGrid>
      <w:tr w:rsidR="00072B62" w:rsidRPr="00971FC8" w:rsidTr="006B4D9E">
        <w:tc>
          <w:tcPr>
            <w:tcW w:w="2830" w:type="dxa"/>
            <w:shd w:val="clear" w:color="auto" w:fill="FFFFFF" w:themeFill="background1"/>
          </w:tcPr>
          <w:p w:rsidR="00072B62" w:rsidRPr="00971FC8" w:rsidRDefault="00072B62" w:rsidP="00072B62">
            <w:pPr>
              <w:pStyle w:val="Heading3"/>
              <w:numPr>
                <w:ilvl w:val="0"/>
                <w:numId w:val="0"/>
              </w:numPr>
              <w:tabs>
                <w:tab w:val="left" w:pos="5387"/>
              </w:tabs>
              <w:rPr>
                <w:rFonts w:ascii="Arial" w:hAnsi="Arial" w:cs="Arial"/>
                <w:color w:val="FF0000"/>
                <w:sz w:val="20"/>
              </w:rPr>
            </w:pPr>
            <w:r w:rsidRPr="00971FC8">
              <w:rPr>
                <w:rFonts w:ascii="Arial" w:hAnsi="Arial" w:cs="Arial"/>
                <w:color w:val="FF0000"/>
                <w:sz w:val="20"/>
              </w:rPr>
              <w:lastRenderedPageBreak/>
              <w:t>My role responsibility</w:t>
            </w:r>
          </w:p>
          <w:p w:rsidR="00072B62" w:rsidRPr="00971FC8" w:rsidRDefault="00072B62" w:rsidP="00894F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:rsidR="006B4D9E" w:rsidRDefault="006B4D9E" w:rsidP="00072B62">
            <w:pPr>
              <w:rPr>
                <w:rFonts w:ascii="Arial" w:hAnsi="Arial" w:cs="Arial"/>
                <w:sz w:val="20"/>
              </w:rPr>
            </w:pPr>
          </w:p>
          <w:p w:rsidR="00072B62" w:rsidRPr="00971FC8" w:rsidRDefault="00EC39AA" w:rsidP="00072B62">
            <w:pPr>
              <w:rPr>
                <w:rFonts w:ascii="Arial" w:hAnsi="Arial" w:cs="Arial"/>
                <w:sz w:val="20"/>
              </w:rPr>
            </w:pPr>
            <w:r w:rsidRPr="00EC39AA">
              <w:rPr>
                <w:rFonts w:ascii="Arial" w:hAnsi="Arial" w:cs="Arial"/>
                <w:sz w:val="20"/>
              </w:rPr>
              <w:t>Clinical Director</w:t>
            </w:r>
            <w:r w:rsidR="00685355">
              <w:rPr>
                <w:rFonts w:ascii="Arial" w:hAnsi="Arial" w:cs="Arial"/>
                <w:sz w:val="20"/>
              </w:rPr>
              <w:t xml:space="preserve">, </w:t>
            </w:r>
            <w:r w:rsidR="00B83391">
              <w:rPr>
                <w:rFonts w:ascii="Arial" w:hAnsi="Arial" w:cs="Arial"/>
                <w:sz w:val="20"/>
              </w:rPr>
              <w:t>Radiation</w:t>
            </w:r>
            <w:r w:rsidR="00685355">
              <w:rPr>
                <w:rFonts w:ascii="Arial" w:hAnsi="Arial" w:cs="Arial"/>
                <w:sz w:val="20"/>
              </w:rPr>
              <w:t xml:space="preserve"> Oncology </w:t>
            </w:r>
            <w:r w:rsidR="00072B62" w:rsidRPr="00971FC8">
              <w:rPr>
                <w:rFonts w:ascii="Arial" w:hAnsi="Arial" w:cs="Arial"/>
                <w:sz w:val="20"/>
              </w:rPr>
              <w:t xml:space="preserve">is responsible for overall professional leadership of the </w:t>
            </w:r>
            <w:r w:rsidR="00685355">
              <w:rPr>
                <w:rFonts w:ascii="Arial" w:hAnsi="Arial" w:cs="Arial"/>
                <w:sz w:val="20"/>
              </w:rPr>
              <w:t>Service</w:t>
            </w:r>
            <w:r w:rsidR="00BF1B92">
              <w:rPr>
                <w:rFonts w:ascii="Arial" w:hAnsi="Arial" w:cs="Arial"/>
                <w:sz w:val="20"/>
              </w:rPr>
              <w:t>.</w:t>
            </w:r>
          </w:p>
          <w:p w:rsidR="00072B62" w:rsidRPr="00971FC8" w:rsidRDefault="00072B62" w:rsidP="00072B62">
            <w:p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 xml:space="preserve"> The expected outcomes from this role will be: </w:t>
            </w:r>
          </w:p>
          <w:p w:rsidR="00072B62" w:rsidRPr="00971FC8" w:rsidRDefault="00072B62" w:rsidP="00971FC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>Effective and visible professional leadership for the team and D</w:t>
            </w:r>
            <w:r w:rsidR="00BF1B92">
              <w:rPr>
                <w:rFonts w:ascii="Arial" w:hAnsi="Arial" w:cs="Arial"/>
                <w:sz w:val="20"/>
              </w:rPr>
              <w:t>epartment.</w:t>
            </w:r>
          </w:p>
          <w:p w:rsidR="00072B62" w:rsidRPr="00971FC8" w:rsidRDefault="00072B62" w:rsidP="00971FC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>Robust plans and partnerships</w:t>
            </w:r>
          </w:p>
          <w:p w:rsidR="00072B62" w:rsidRPr="00971FC8" w:rsidRDefault="00BF1B92" w:rsidP="00971FC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Clinical staff</w:t>
            </w:r>
            <w:r w:rsidR="00072B62" w:rsidRPr="00971FC8">
              <w:rPr>
                <w:rFonts w:ascii="Arial" w:hAnsi="Arial" w:cs="Arial"/>
                <w:sz w:val="20"/>
              </w:rPr>
              <w:t xml:space="preserve"> performing effectively, individually and as a team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072B62" w:rsidRPr="00971FC8" w:rsidRDefault="00072B62" w:rsidP="00971FC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>A valuable tra</w:t>
            </w:r>
            <w:r w:rsidR="00BF1B92">
              <w:rPr>
                <w:rFonts w:ascii="Arial" w:hAnsi="Arial" w:cs="Arial"/>
                <w:sz w:val="20"/>
              </w:rPr>
              <w:t>ining experience for registrars</w:t>
            </w:r>
          </w:p>
          <w:p w:rsidR="00072B62" w:rsidRPr="00971FC8" w:rsidRDefault="00EC39AA" w:rsidP="00971FC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Christchurch Hospital</w:t>
            </w:r>
            <w:r w:rsidR="00072B62" w:rsidRPr="00971FC8">
              <w:rPr>
                <w:rFonts w:ascii="Arial" w:hAnsi="Arial" w:cs="Arial"/>
                <w:sz w:val="20"/>
              </w:rPr>
              <w:t xml:space="preserve"> is a learning organisation</w:t>
            </w:r>
            <w:r w:rsidR="00BF1B92">
              <w:rPr>
                <w:rFonts w:ascii="Arial" w:hAnsi="Arial" w:cs="Arial"/>
                <w:sz w:val="20"/>
              </w:rPr>
              <w:t>.</w:t>
            </w:r>
          </w:p>
          <w:p w:rsidR="00072B62" w:rsidRPr="00971FC8" w:rsidRDefault="00072B62" w:rsidP="00072B62">
            <w:p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 xml:space="preserve">Specifically the role will take responsibility for: </w:t>
            </w:r>
          </w:p>
          <w:p w:rsidR="00072B62" w:rsidRPr="00971FC8" w:rsidRDefault="00072B62" w:rsidP="00072B62">
            <w:pPr>
              <w:pStyle w:val="Heading4"/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>Leadership</w:t>
            </w:r>
          </w:p>
          <w:p w:rsidR="00072B62" w:rsidRPr="00971FC8" w:rsidRDefault="00072B62" w:rsidP="00971FC8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 xml:space="preserve">Role model commitment to the principles of the Treaty of Waitangi and reducing inequities for Māori. </w:t>
            </w:r>
          </w:p>
          <w:p w:rsidR="00072B62" w:rsidRPr="00E14B10" w:rsidRDefault="00072B62" w:rsidP="00E14B10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E14B10">
              <w:rPr>
                <w:rFonts w:ascii="Arial" w:hAnsi="Arial" w:cs="Arial"/>
                <w:sz w:val="20"/>
              </w:rPr>
              <w:t>Maintain effective relationships with relevant health system and external organisations</w:t>
            </w:r>
            <w:r w:rsidR="00EC39AA">
              <w:rPr>
                <w:rFonts w:ascii="Arial" w:hAnsi="Arial" w:cs="Arial"/>
                <w:sz w:val="20"/>
              </w:rPr>
              <w:t>.</w:t>
            </w:r>
            <w:r w:rsidRPr="00E14B10">
              <w:rPr>
                <w:rFonts w:ascii="Arial" w:hAnsi="Arial" w:cs="Arial"/>
                <w:sz w:val="20"/>
              </w:rPr>
              <w:t xml:space="preserve"> Act as an effective leader and advocate for clinical </w:t>
            </w:r>
            <w:r w:rsidR="0023514C" w:rsidRPr="00E14B10">
              <w:rPr>
                <w:rFonts w:ascii="Arial" w:hAnsi="Arial" w:cs="Arial"/>
                <w:sz w:val="20"/>
              </w:rPr>
              <w:t>governance</w:t>
            </w:r>
            <w:r w:rsidR="0023514C">
              <w:rPr>
                <w:rFonts w:ascii="Arial" w:hAnsi="Arial" w:cs="Arial"/>
                <w:sz w:val="20"/>
              </w:rPr>
              <w:t>,</w:t>
            </w:r>
            <w:r w:rsidR="00E14B10">
              <w:rPr>
                <w:rFonts w:ascii="Arial" w:hAnsi="Arial" w:cs="Arial"/>
                <w:sz w:val="20"/>
              </w:rPr>
              <w:t xml:space="preserve"> including</w:t>
            </w:r>
            <w:r w:rsidRPr="00E14B10">
              <w:rPr>
                <w:rFonts w:ascii="Arial" w:hAnsi="Arial" w:cs="Arial"/>
                <w:sz w:val="20"/>
              </w:rPr>
              <w:t xml:space="preserve"> quality improvement, best practice </w:t>
            </w:r>
            <w:r w:rsidR="00BF1B92">
              <w:rPr>
                <w:rFonts w:ascii="Arial" w:hAnsi="Arial" w:cs="Arial"/>
                <w:sz w:val="20"/>
              </w:rPr>
              <w:t>and high professional standards</w:t>
            </w:r>
          </w:p>
          <w:p w:rsidR="00072B62" w:rsidRPr="00971FC8" w:rsidRDefault="00072B62" w:rsidP="00971FC8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 xml:space="preserve">Inspire, encourage, support and model best </w:t>
            </w:r>
            <w:r w:rsidR="00BF1B92">
              <w:rPr>
                <w:rFonts w:ascii="Arial" w:hAnsi="Arial" w:cs="Arial"/>
                <w:sz w:val="20"/>
              </w:rPr>
              <w:t>prescribing</w:t>
            </w:r>
            <w:r w:rsidRPr="00971FC8">
              <w:rPr>
                <w:rFonts w:ascii="Arial" w:hAnsi="Arial" w:cs="Arial"/>
                <w:sz w:val="20"/>
              </w:rPr>
              <w:t xml:space="preserve"> </w:t>
            </w:r>
            <w:r w:rsidR="00BF1B92">
              <w:rPr>
                <w:rFonts w:ascii="Arial" w:hAnsi="Arial" w:cs="Arial"/>
                <w:sz w:val="20"/>
              </w:rPr>
              <w:t>across the DHB</w:t>
            </w:r>
            <w:r w:rsidRPr="00971FC8">
              <w:rPr>
                <w:rFonts w:ascii="Arial" w:hAnsi="Arial" w:cs="Arial"/>
                <w:sz w:val="20"/>
              </w:rPr>
              <w:t>.</w:t>
            </w:r>
          </w:p>
          <w:p w:rsidR="00072B62" w:rsidRDefault="00072B62" w:rsidP="00971FC8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>Maintain an understanding of operational issues and tasks for the D</w:t>
            </w:r>
            <w:r w:rsidR="0077547D">
              <w:rPr>
                <w:rFonts w:ascii="Arial" w:hAnsi="Arial" w:cs="Arial"/>
                <w:sz w:val="20"/>
              </w:rPr>
              <w:t>epartment.</w:t>
            </w:r>
          </w:p>
          <w:p w:rsidR="007B65A0" w:rsidRPr="00971FC8" w:rsidRDefault="007B65A0" w:rsidP="00971FC8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Ensure good communication and effective relationships with </w:t>
            </w:r>
            <w:r w:rsidR="0077547D">
              <w:rPr>
                <w:rFonts w:ascii="Arial" w:hAnsi="Arial" w:cs="Arial"/>
                <w:sz w:val="20"/>
              </w:rPr>
              <w:t>both medical and surgical specialities across the hospital.</w:t>
            </w:r>
          </w:p>
          <w:p w:rsidR="00072B62" w:rsidRPr="00971FC8" w:rsidRDefault="00072B62" w:rsidP="00072B62">
            <w:pPr>
              <w:pStyle w:val="Heading4"/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>Planning</w:t>
            </w:r>
          </w:p>
          <w:p w:rsidR="00072B62" w:rsidRPr="00971FC8" w:rsidRDefault="00072B62" w:rsidP="00971FC8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>Along with the General Manager, lead and oversee the development of</w:t>
            </w:r>
            <w:r w:rsidR="00685355">
              <w:rPr>
                <w:rFonts w:ascii="Arial" w:hAnsi="Arial" w:cs="Arial"/>
                <w:sz w:val="20"/>
              </w:rPr>
              <w:t xml:space="preserve"> the </w:t>
            </w:r>
            <w:r w:rsidR="00B83391">
              <w:rPr>
                <w:rFonts w:ascii="Arial" w:hAnsi="Arial" w:cs="Arial"/>
                <w:sz w:val="20"/>
              </w:rPr>
              <w:t>Radiation</w:t>
            </w:r>
            <w:r w:rsidR="00685355">
              <w:rPr>
                <w:rFonts w:ascii="Arial" w:hAnsi="Arial" w:cs="Arial"/>
                <w:sz w:val="20"/>
              </w:rPr>
              <w:t xml:space="preserve"> Oncology Service’s </w:t>
            </w:r>
            <w:r w:rsidRPr="00971FC8">
              <w:rPr>
                <w:rFonts w:ascii="Arial" w:hAnsi="Arial" w:cs="Arial"/>
                <w:sz w:val="20"/>
              </w:rPr>
              <w:t>strategic direction and reporting to the Ministry of Healt</w:t>
            </w:r>
            <w:r w:rsidR="0077547D">
              <w:rPr>
                <w:rFonts w:ascii="Arial" w:hAnsi="Arial" w:cs="Arial"/>
                <w:sz w:val="20"/>
              </w:rPr>
              <w:t>h and our District Health Board.</w:t>
            </w:r>
          </w:p>
          <w:p w:rsidR="00072B62" w:rsidRPr="00971FC8" w:rsidRDefault="00072B62" w:rsidP="00971FC8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 xml:space="preserve">Monitor the external environment and its potential impact on the team and organisation. </w:t>
            </w:r>
          </w:p>
          <w:p w:rsidR="00072B62" w:rsidRPr="00971FC8" w:rsidRDefault="00072B62" w:rsidP="00971FC8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 xml:space="preserve">Maintain an overview of best practice </w:t>
            </w:r>
            <w:r w:rsidR="007B65A0" w:rsidRPr="00971FC8">
              <w:rPr>
                <w:rFonts w:ascii="Arial" w:hAnsi="Arial" w:cs="Arial"/>
                <w:sz w:val="20"/>
              </w:rPr>
              <w:t>and the</w:t>
            </w:r>
            <w:r w:rsidRPr="00971FC8">
              <w:rPr>
                <w:rFonts w:ascii="Arial" w:hAnsi="Arial" w:cs="Arial"/>
                <w:sz w:val="20"/>
              </w:rPr>
              <w:t xml:space="preserve"> evidence base for effective </w:t>
            </w:r>
            <w:r w:rsidR="0077547D">
              <w:rPr>
                <w:rFonts w:ascii="Arial" w:hAnsi="Arial" w:cs="Arial"/>
                <w:sz w:val="20"/>
              </w:rPr>
              <w:t>medicine management</w:t>
            </w:r>
            <w:r w:rsidRPr="00971FC8">
              <w:rPr>
                <w:rFonts w:ascii="Arial" w:hAnsi="Arial" w:cs="Arial"/>
                <w:sz w:val="20"/>
              </w:rPr>
              <w:t xml:space="preserve">, and ensure that this is reflected in programme plans, and in staff’s understanding of the rationale for their work. </w:t>
            </w:r>
          </w:p>
          <w:p w:rsidR="00072B62" w:rsidRPr="00971FC8" w:rsidRDefault="00B83391" w:rsidP="00EC39AA">
            <w:pPr>
              <w:pStyle w:val="Heading4"/>
              <w:numPr>
                <w:ilvl w:val="0"/>
                <w:numId w:val="0"/>
              </w:numPr>
              <w:ind w:left="708" w:hanging="708"/>
              <w:rPr>
                <w:rFonts w:ascii="Arial" w:hAnsi="Arial" w:cs="Arial"/>
                <w:sz w:val="20"/>
              </w:rPr>
            </w:pPr>
            <w:r w:rsidRPr="00B83391">
              <w:rPr>
                <w:rFonts w:ascii="Arial" w:hAnsi="Arial" w:cs="Arial"/>
                <w:sz w:val="20"/>
              </w:rPr>
              <w:t>Radiation</w:t>
            </w:r>
            <w:r w:rsidR="00685355" w:rsidRPr="00B83391">
              <w:rPr>
                <w:rFonts w:ascii="Arial" w:hAnsi="Arial" w:cs="Arial"/>
                <w:sz w:val="20"/>
              </w:rPr>
              <w:t xml:space="preserve"> </w:t>
            </w:r>
            <w:r w:rsidR="00685355">
              <w:rPr>
                <w:rFonts w:ascii="Arial" w:hAnsi="Arial" w:cs="Arial"/>
                <w:sz w:val="20"/>
              </w:rPr>
              <w:t>Oncology</w:t>
            </w:r>
            <w:r w:rsidR="00072B62" w:rsidRPr="00971FC8">
              <w:rPr>
                <w:rFonts w:ascii="Arial" w:hAnsi="Arial" w:cs="Arial"/>
                <w:sz w:val="20"/>
              </w:rPr>
              <w:t xml:space="preserve"> Team performance</w:t>
            </w:r>
          </w:p>
          <w:p w:rsidR="00072B62" w:rsidRPr="00971FC8" w:rsidRDefault="00072B62" w:rsidP="00971FC8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>Actively build a strong, supportive team</w:t>
            </w:r>
          </w:p>
          <w:p w:rsidR="00072B62" w:rsidRPr="00971FC8" w:rsidRDefault="00072B62" w:rsidP="00971FC8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 xml:space="preserve">Ensure effective communication within the team. </w:t>
            </w:r>
          </w:p>
          <w:p w:rsidR="00072B62" w:rsidRPr="00971FC8" w:rsidRDefault="00072B62" w:rsidP="00971FC8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>Identify team training needs and ensure they are met.</w:t>
            </w:r>
          </w:p>
          <w:p w:rsidR="00072B62" w:rsidRPr="00971FC8" w:rsidRDefault="00072B62" w:rsidP="00971FC8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 xml:space="preserve">Lead development of protocols to guide key team tasks. </w:t>
            </w:r>
          </w:p>
          <w:p w:rsidR="00072B62" w:rsidRPr="00971FC8" w:rsidRDefault="00072B62" w:rsidP="00971FC8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 xml:space="preserve">In conjunction with </w:t>
            </w:r>
            <w:r w:rsidR="007B65A0">
              <w:rPr>
                <w:rFonts w:ascii="Arial" w:hAnsi="Arial" w:cs="Arial"/>
                <w:sz w:val="20"/>
              </w:rPr>
              <w:t xml:space="preserve">the Service Manager, </w:t>
            </w:r>
            <w:r w:rsidR="007B65A0" w:rsidRPr="007B65A0">
              <w:rPr>
                <w:rStyle w:val="CommentReference"/>
                <w:rFonts w:ascii="Arial" w:hAnsi="Arial" w:cs="Arial"/>
                <w:sz w:val="20"/>
                <w:szCs w:val="20"/>
              </w:rPr>
              <w:t>c</w:t>
            </w:r>
            <w:r w:rsidRPr="00971FC8">
              <w:rPr>
                <w:rFonts w:ascii="Arial" w:hAnsi="Arial" w:cs="Arial"/>
                <w:sz w:val="20"/>
              </w:rPr>
              <w:t xml:space="preserve">onduct </w:t>
            </w:r>
            <w:r w:rsidR="007B65A0" w:rsidRPr="00971FC8">
              <w:rPr>
                <w:rFonts w:ascii="Arial" w:hAnsi="Arial" w:cs="Arial"/>
                <w:sz w:val="20"/>
              </w:rPr>
              <w:t xml:space="preserve">annual </w:t>
            </w:r>
            <w:r w:rsidR="007B65A0">
              <w:rPr>
                <w:rFonts w:ascii="Arial" w:hAnsi="Arial" w:cs="Arial"/>
                <w:sz w:val="20"/>
              </w:rPr>
              <w:t>Feedback</w:t>
            </w:r>
            <w:r w:rsidR="003B5C68">
              <w:rPr>
                <w:rFonts w:ascii="Arial" w:hAnsi="Arial" w:cs="Arial"/>
                <w:sz w:val="20"/>
              </w:rPr>
              <w:t xml:space="preserve"> &amp; Development conversations</w:t>
            </w:r>
            <w:r w:rsidRPr="00971FC8">
              <w:rPr>
                <w:rFonts w:ascii="Arial" w:hAnsi="Arial" w:cs="Arial"/>
                <w:sz w:val="20"/>
              </w:rPr>
              <w:t xml:space="preserve"> and approval of individual plans, and identify and resolve any performance issues. </w:t>
            </w:r>
          </w:p>
          <w:p w:rsidR="00072B62" w:rsidRPr="00971FC8" w:rsidRDefault="00072B62" w:rsidP="00971FC8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 xml:space="preserve">Ensure career development planning not only assists the individual but also provides for organisational succession planning. </w:t>
            </w:r>
          </w:p>
          <w:p w:rsidR="00072B62" w:rsidRPr="00971FC8" w:rsidRDefault="00072B62" w:rsidP="00971FC8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 xml:space="preserve">Ensure requirements for credentialing, peer review, audit processes and accreditation are met. </w:t>
            </w:r>
          </w:p>
          <w:p w:rsidR="00072B62" w:rsidRPr="00971FC8" w:rsidRDefault="00072B62" w:rsidP="00971FC8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 xml:space="preserve">Contribute to recruitment, selection and orientation processes to ensure optimal </w:t>
            </w:r>
            <w:r w:rsidR="003B5C68">
              <w:rPr>
                <w:rFonts w:ascii="Arial" w:hAnsi="Arial" w:cs="Arial"/>
                <w:sz w:val="20"/>
              </w:rPr>
              <w:t xml:space="preserve">team culture, </w:t>
            </w:r>
            <w:r w:rsidRPr="00971FC8">
              <w:rPr>
                <w:rFonts w:ascii="Arial" w:hAnsi="Arial" w:cs="Arial"/>
                <w:sz w:val="20"/>
              </w:rPr>
              <w:t xml:space="preserve">staff mix and numbers. </w:t>
            </w:r>
          </w:p>
          <w:p w:rsidR="007B65A0" w:rsidRDefault="007B65A0" w:rsidP="00EC39AA">
            <w:pPr>
              <w:pStyle w:val="Heading4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:rsidR="00072B62" w:rsidRPr="00971FC8" w:rsidRDefault="0077547D" w:rsidP="00EC39AA">
            <w:pPr>
              <w:pStyle w:val="Heading4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Training Registrars in </w:t>
            </w:r>
            <w:r w:rsidR="00685355">
              <w:rPr>
                <w:rFonts w:ascii="Arial" w:hAnsi="Arial" w:cs="Arial"/>
                <w:sz w:val="20"/>
              </w:rPr>
              <w:t>Oncology Service</w:t>
            </w:r>
          </w:p>
          <w:p w:rsidR="00072B62" w:rsidRPr="00971FC8" w:rsidRDefault="00685355" w:rsidP="00685355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Overseeing the Director of Training to ensure</w:t>
            </w:r>
            <w:r w:rsidR="00072B62" w:rsidRPr="00971FC8">
              <w:rPr>
                <w:rFonts w:ascii="Arial" w:hAnsi="Arial" w:cs="Arial"/>
                <w:sz w:val="20"/>
              </w:rPr>
              <w:t xml:space="preserve"> a quality training experience and adequate supervision and support are in place.</w:t>
            </w:r>
          </w:p>
        </w:tc>
      </w:tr>
    </w:tbl>
    <w:p w:rsidR="00072B62" w:rsidRPr="00971FC8" w:rsidRDefault="00072B62" w:rsidP="00894F7A">
      <w:pPr>
        <w:rPr>
          <w:rFonts w:ascii="Arial" w:hAnsi="Arial" w:cs="Arial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663"/>
      </w:tblGrid>
      <w:tr w:rsidR="00072B62" w:rsidRPr="00971FC8" w:rsidTr="006B4D9E">
        <w:tc>
          <w:tcPr>
            <w:tcW w:w="2830" w:type="dxa"/>
            <w:shd w:val="clear" w:color="auto" w:fill="FFFFFF" w:themeFill="background1"/>
          </w:tcPr>
          <w:p w:rsidR="00072B62" w:rsidRPr="00971FC8" w:rsidRDefault="00072B62" w:rsidP="00072B62">
            <w:pPr>
              <w:pStyle w:val="Heading3"/>
              <w:numPr>
                <w:ilvl w:val="0"/>
                <w:numId w:val="0"/>
              </w:numPr>
              <w:tabs>
                <w:tab w:val="left" w:pos="5387"/>
              </w:tabs>
              <w:rPr>
                <w:rFonts w:ascii="Arial" w:hAnsi="Arial" w:cs="Arial"/>
                <w:color w:val="FF0000"/>
                <w:sz w:val="20"/>
              </w:rPr>
            </w:pPr>
            <w:r w:rsidRPr="00971FC8">
              <w:rPr>
                <w:rFonts w:ascii="Arial" w:hAnsi="Arial" w:cs="Arial"/>
                <w:color w:val="FF0000"/>
                <w:sz w:val="20"/>
              </w:rPr>
              <w:lastRenderedPageBreak/>
              <w:t>My capability</w:t>
            </w:r>
          </w:p>
          <w:p w:rsidR="00680C0C" w:rsidRPr="00971FC8" w:rsidRDefault="00680C0C" w:rsidP="00894F7A">
            <w:pPr>
              <w:rPr>
                <w:rFonts w:ascii="Arial" w:hAnsi="Arial" w:cs="Arial"/>
                <w:sz w:val="20"/>
              </w:rPr>
            </w:pPr>
          </w:p>
          <w:p w:rsidR="00680C0C" w:rsidRPr="00971FC8" w:rsidRDefault="00680C0C" w:rsidP="00680C0C">
            <w:pPr>
              <w:rPr>
                <w:rFonts w:ascii="Arial" w:hAnsi="Arial" w:cs="Arial"/>
                <w:sz w:val="20"/>
              </w:rPr>
            </w:pPr>
          </w:p>
          <w:p w:rsidR="00680C0C" w:rsidRPr="00971FC8" w:rsidRDefault="00680C0C" w:rsidP="00680C0C">
            <w:pPr>
              <w:rPr>
                <w:rFonts w:ascii="Arial" w:hAnsi="Arial" w:cs="Arial"/>
                <w:sz w:val="20"/>
              </w:rPr>
            </w:pPr>
          </w:p>
          <w:p w:rsidR="00680C0C" w:rsidRPr="00971FC8" w:rsidRDefault="00680C0C" w:rsidP="00680C0C">
            <w:pPr>
              <w:rPr>
                <w:rFonts w:ascii="Arial" w:hAnsi="Arial" w:cs="Arial"/>
                <w:sz w:val="20"/>
              </w:rPr>
            </w:pPr>
          </w:p>
          <w:p w:rsidR="00680C0C" w:rsidRPr="00971FC8" w:rsidRDefault="00680C0C" w:rsidP="00680C0C">
            <w:pPr>
              <w:rPr>
                <w:rFonts w:ascii="Arial" w:hAnsi="Arial" w:cs="Arial"/>
                <w:sz w:val="20"/>
              </w:rPr>
            </w:pPr>
          </w:p>
          <w:p w:rsidR="00680C0C" w:rsidRPr="00971FC8" w:rsidRDefault="00680C0C" w:rsidP="00680C0C">
            <w:pPr>
              <w:rPr>
                <w:rFonts w:ascii="Arial" w:hAnsi="Arial" w:cs="Arial"/>
                <w:sz w:val="20"/>
              </w:rPr>
            </w:pPr>
          </w:p>
          <w:p w:rsidR="00680C0C" w:rsidRPr="00971FC8" w:rsidRDefault="00680C0C" w:rsidP="00680C0C">
            <w:pPr>
              <w:rPr>
                <w:rFonts w:ascii="Arial" w:hAnsi="Arial" w:cs="Arial"/>
                <w:sz w:val="20"/>
              </w:rPr>
            </w:pPr>
          </w:p>
          <w:p w:rsidR="00680C0C" w:rsidRPr="00971FC8" w:rsidRDefault="00680C0C" w:rsidP="00680C0C">
            <w:pPr>
              <w:rPr>
                <w:rFonts w:ascii="Arial" w:hAnsi="Arial" w:cs="Arial"/>
                <w:sz w:val="20"/>
              </w:rPr>
            </w:pPr>
          </w:p>
          <w:p w:rsidR="00680C0C" w:rsidRPr="00971FC8" w:rsidRDefault="00680C0C" w:rsidP="00680C0C">
            <w:pPr>
              <w:rPr>
                <w:rFonts w:ascii="Arial" w:hAnsi="Arial" w:cs="Arial"/>
                <w:sz w:val="20"/>
              </w:rPr>
            </w:pPr>
          </w:p>
          <w:p w:rsidR="00680C0C" w:rsidRPr="00971FC8" w:rsidRDefault="00680C0C" w:rsidP="00680C0C">
            <w:pPr>
              <w:rPr>
                <w:rFonts w:ascii="Arial" w:hAnsi="Arial" w:cs="Arial"/>
                <w:sz w:val="20"/>
              </w:rPr>
            </w:pPr>
          </w:p>
          <w:p w:rsidR="00072B62" w:rsidRPr="00971FC8" w:rsidRDefault="00072B62" w:rsidP="00680C0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:rsidR="0077547D" w:rsidRDefault="0077547D" w:rsidP="00072B62">
            <w:pPr>
              <w:rPr>
                <w:rFonts w:ascii="Arial" w:hAnsi="Arial" w:cs="Arial"/>
                <w:sz w:val="20"/>
              </w:rPr>
            </w:pPr>
          </w:p>
          <w:p w:rsidR="00072B62" w:rsidRPr="00971FC8" w:rsidRDefault="00072B62" w:rsidP="00072B62">
            <w:p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 xml:space="preserve">To be effective and succeed in this role it is expected the person will be a widely respected senior doctor with the following proven and well developed capabilities. </w:t>
            </w:r>
          </w:p>
          <w:p w:rsidR="00072B62" w:rsidRPr="00971FC8" w:rsidRDefault="00072B62" w:rsidP="00680C0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 xml:space="preserve">Display self-awareness </w:t>
            </w:r>
          </w:p>
          <w:p w:rsidR="00072B62" w:rsidRPr="00971FC8" w:rsidRDefault="00072B62" w:rsidP="00680C0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 xml:space="preserve">Take self-responsibility </w:t>
            </w:r>
          </w:p>
          <w:p w:rsidR="00072B62" w:rsidRPr="00971FC8" w:rsidRDefault="00072B62" w:rsidP="00680C0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 xml:space="preserve">Be a person of value to others </w:t>
            </w:r>
          </w:p>
          <w:p w:rsidR="00072B62" w:rsidRPr="00971FC8" w:rsidRDefault="00072B62" w:rsidP="00680C0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 xml:space="preserve">Think and act strategically </w:t>
            </w:r>
          </w:p>
          <w:p w:rsidR="00072B62" w:rsidRPr="00971FC8" w:rsidRDefault="00072B62" w:rsidP="00680C0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 xml:space="preserve">Forge cross organisation and system relationships, alignment and commitment </w:t>
            </w:r>
          </w:p>
          <w:p w:rsidR="00072B62" w:rsidRPr="00971FC8" w:rsidRDefault="00072B62" w:rsidP="00680C0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 xml:space="preserve">Promote and communicate organisational common purpose – vision, values and goals </w:t>
            </w:r>
          </w:p>
          <w:p w:rsidR="00072B62" w:rsidRPr="00971FC8" w:rsidRDefault="00072B62" w:rsidP="00680C0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 xml:space="preserve">Develop clear direction and plans aligned to this common purpose </w:t>
            </w:r>
          </w:p>
          <w:p w:rsidR="00072B62" w:rsidRPr="00971FC8" w:rsidRDefault="00072B62" w:rsidP="00680C0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 xml:space="preserve">Design and implement cross functional change initiatives </w:t>
            </w:r>
          </w:p>
          <w:p w:rsidR="00072B62" w:rsidRPr="00971FC8" w:rsidRDefault="00072B62" w:rsidP="00680C0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 xml:space="preserve">Build and sustain organisational innovation and continuous improvement </w:t>
            </w:r>
          </w:p>
          <w:p w:rsidR="00072B62" w:rsidRPr="00971FC8" w:rsidRDefault="00072B62" w:rsidP="00680C0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 xml:space="preserve">Mentor and empower other leaders </w:t>
            </w:r>
          </w:p>
          <w:p w:rsidR="00072B62" w:rsidRPr="00971FC8" w:rsidRDefault="00072B62" w:rsidP="00680C0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>Foster a culture of responsibility and commitment</w:t>
            </w:r>
          </w:p>
          <w:p w:rsidR="00072B62" w:rsidRPr="00971FC8" w:rsidRDefault="00072B62" w:rsidP="00894F7A">
            <w:pPr>
              <w:rPr>
                <w:rFonts w:ascii="Arial" w:hAnsi="Arial" w:cs="Arial"/>
                <w:sz w:val="20"/>
              </w:rPr>
            </w:pPr>
          </w:p>
        </w:tc>
      </w:tr>
    </w:tbl>
    <w:p w:rsidR="00072B62" w:rsidRPr="00971FC8" w:rsidRDefault="00072B62" w:rsidP="00894F7A">
      <w:pPr>
        <w:rPr>
          <w:rFonts w:ascii="Arial" w:hAnsi="Arial" w:cs="Arial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7"/>
        <w:gridCol w:w="2768"/>
        <w:gridCol w:w="3958"/>
      </w:tblGrid>
      <w:tr w:rsidR="00072B62" w:rsidRPr="00971FC8" w:rsidTr="006B4D9E">
        <w:tc>
          <w:tcPr>
            <w:tcW w:w="2767" w:type="dxa"/>
            <w:shd w:val="clear" w:color="auto" w:fill="FFFFFF" w:themeFill="background1"/>
          </w:tcPr>
          <w:p w:rsidR="006B4D9E" w:rsidRDefault="006B4D9E" w:rsidP="00894F7A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  <w:p w:rsidR="00072B62" w:rsidRPr="00971FC8" w:rsidRDefault="00072B62" w:rsidP="00894F7A">
            <w:pPr>
              <w:rPr>
                <w:rFonts w:ascii="Arial" w:hAnsi="Arial" w:cs="Arial"/>
                <w:b/>
                <w:sz w:val="20"/>
              </w:rPr>
            </w:pPr>
            <w:r w:rsidRPr="00971FC8">
              <w:rPr>
                <w:rFonts w:ascii="Arial" w:hAnsi="Arial" w:cs="Arial"/>
                <w:b/>
                <w:color w:val="FF0000"/>
                <w:sz w:val="20"/>
              </w:rPr>
              <w:t>My relationships to nurture</w:t>
            </w:r>
          </w:p>
        </w:tc>
        <w:tc>
          <w:tcPr>
            <w:tcW w:w="2768" w:type="dxa"/>
            <w:shd w:val="clear" w:color="auto" w:fill="FFFFFF" w:themeFill="background1"/>
          </w:tcPr>
          <w:p w:rsidR="006B4D9E" w:rsidRDefault="006B4D9E" w:rsidP="00072B62">
            <w:pPr>
              <w:rPr>
                <w:rFonts w:ascii="Arial" w:hAnsi="Arial" w:cs="Arial"/>
                <w:b/>
                <w:sz w:val="20"/>
              </w:rPr>
            </w:pPr>
          </w:p>
          <w:p w:rsidR="00072B62" w:rsidRPr="00971FC8" w:rsidRDefault="00072B62" w:rsidP="00072B62">
            <w:pPr>
              <w:rPr>
                <w:rFonts w:ascii="Arial" w:hAnsi="Arial" w:cs="Arial"/>
                <w:b/>
                <w:sz w:val="20"/>
              </w:rPr>
            </w:pPr>
            <w:r w:rsidRPr="00971FC8">
              <w:rPr>
                <w:rFonts w:ascii="Arial" w:hAnsi="Arial" w:cs="Arial"/>
                <w:b/>
                <w:sz w:val="20"/>
              </w:rPr>
              <w:t>Internal</w:t>
            </w:r>
          </w:p>
          <w:p w:rsidR="00072B62" w:rsidRPr="00971FC8" w:rsidRDefault="00072B62" w:rsidP="00680C0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>General Manager</w:t>
            </w:r>
          </w:p>
          <w:p w:rsidR="00072B62" w:rsidRPr="00971FC8" w:rsidRDefault="0077547D" w:rsidP="00680C0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 Manager</w:t>
            </w:r>
          </w:p>
          <w:p w:rsidR="007B65A0" w:rsidRDefault="00072B62" w:rsidP="00072B6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29095B">
              <w:rPr>
                <w:rFonts w:ascii="Arial" w:hAnsi="Arial" w:cs="Arial"/>
                <w:sz w:val="20"/>
              </w:rPr>
              <w:t>Divisional Leadership Team</w:t>
            </w:r>
          </w:p>
          <w:p w:rsidR="003B5C68" w:rsidRDefault="003B5C68" w:rsidP="00072B6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Chief of </w:t>
            </w:r>
            <w:r w:rsidR="0077547D">
              <w:rPr>
                <w:rFonts w:ascii="Arial" w:hAnsi="Arial" w:cs="Arial"/>
                <w:sz w:val="20"/>
              </w:rPr>
              <w:t>Medicine</w:t>
            </w:r>
          </w:p>
          <w:p w:rsidR="00072B62" w:rsidRPr="00971FC8" w:rsidRDefault="00072B62" w:rsidP="00072B6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>Chief Medical Officer and Clinical Directors Group</w:t>
            </w:r>
          </w:p>
          <w:p w:rsidR="00072B62" w:rsidRPr="00971FC8" w:rsidRDefault="00072B62" w:rsidP="00072B6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>Administration Support</w:t>
            </w:r>
          </w:p>
          <w:p w:rsidR="00072B62" w:rsidRPr="00971FC8" w:rsidRDefault="00072B62" w:rsidP="00894F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8" w:type="dxa"/>
            <w:shd w:val="clear" w:color="auto" w:fill="FFFFFF" w:themeFill="background1"/>
          </w:tcPr>
          <w:p w:rsidR="006B4D9E" w:rsidRDefault="006B4D9E" w:rsidP="00072B62">
            <w:pPr>
              <w:rPr>
                <w:rFonts w:ascii="Arial" w:hAnsi="Arial" w:cs="Arial"/>
                <w:b/>
                <w:sz w:val="20"/>
              </w:rPr>
            </w:pPr>
          </w:p>
          <w:p w:rsidR="00072B62" w:rsidRPr="00971FC8" w:rsidRDefault="00072B62" w:rsidP="00072B62">
            <w:pPr>
              <w:rPr>
                <w:rFonts w:ascii="Arial" w:hAnsi="Arial" w:cs="Arial"/>
                <w:b/>
                <w:sz w:val="20"/>
              </w:rPr>
            </w:pPr>
            <w:r w:rsidRPr="00971FC8">
              <w:rPr>
                <w:rFonts w:ascii="Arial" w:hAnsi="Arial" w:cs="Arial"/>
                <w:b/>
                <w:sz w:val="20"/>
              </w:rPr>
              <w:t>External</w:t>
            </w:r>
          </w:p>
          <w:p w:rsidR="00072B62" w:rsidRPr="00971FC8" w:rsidRDefault="00072B62" w:rsidP="00680C0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 xml:space="preserve">Other </w:t>
            </w:r>
            <w:r w:rsidR="00685355">
              <w:rPr>
                <w:rFonts w:ascii="Arial" w:hAnsi="Arial" w:cs="Arial"/>
                <w:sz w:val="20"/>
              </w:rPr>
              <w:t xml:space="preserve">Oncology </w:t>
            </w:r>
            <w:r w:rsidRPr="00971FC8">
              <w:rPr>
                <w:rFonts w:ascii="Arial" w:hAnsi="Arial" w:cs="Arial"/>
                <w:sz w:val="20"/>
              </w:rPr>
              <w:t>providers</w:t>
            </w:r>
          </w:p>
          <w:p w:rsidR="00072B62" w:rsidRPr="00971FC8" w:rsidRDefault="00072B62" w:rsidP="00680C0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>Ministry of Health</w:t>
            </w:r>
          </w:p>
          <w:p w:rsidR="00072B62" w:rsidRPr="00971FC8" w:rsidRDefault="0077547D" w:rsidP="00680C0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Pharmac</w:t>
            </w:r>
            <w:proofErr w:type="spellEnd"/>
          </w:p>
          <w:p w:rsidR="00072B62" w:rsidRPr="00971FC8" w:rsidRDefault="00072B62" w:rsidP="00680C0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>University Schools of Medicine</w:t>
            </w:r>
          </w:p>
          <w:p w:rsidR="00072B62" w:rsidRPr="00971FC8" w:rsidRDefault="00072B62" w:rsidP="00072B6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 xml:space="preserve">Other organisations focused on </w:t>
            </w:r>
            <w:r w:rsidR="0077547D">
              <w:rPr>
                <w:rFonts w:ascii="Arial" w:hAnsi="Arial" w:cs="Arial"/>
                <w:sz w:val="20"/>
              </w:rPr>
              <w:t xml:space="preserve">pharmacology </w:t>
            </w:r>
            <w:r w:rsidRPr="00971FC8">
              <w:rPr>
                <w:rFonts w:ascii="Arial" w:hAnsi="Arial" w:cs="Arial"/>
                <w:sz w:val="20"/>
              </w:rPr>
              <w:t>issues</w:t>
            </w:r>
          </w:p>
          <w:p w:rsidR="00072B62" w:rsidRPr="00971FC8" w:rsidRDefault="00072B62" w:rsidP="00072B6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 w:rsidRPr="00971FC8">
              <w:rPr>
                <w:rFonts w:ascii="Arial" w:hAnsi="Arial" w:cs="Arial"/>
                <w:sz w:val="20"/>
              </w:rPr>
              <w:t>Other relevant community contacts</w:t>
            </w:r>
          </w:p>
        </w:tc>
      </w:tr>
    </w:tbl>
    <w:p w:rsidR="00705188" w:rsidRPr="006B4D9E" w:rsidRDefault="00705188" w:rsidP="00410E27">
      <w:pPr>
        <w:rPr>
          <w:rFonts w:ascii="Arial" w:hAnsi="Arial" w:cs="Arial"/>
          <w:b/>
        </w:rPr>
      </w:pPr>
    </w:p>
    <w:sectPr w:rsidR="00705188" w:rsidRPr="006B4D9E" w:rsidSect="006B4D9E">
      <w:footerReference w:type="default" r:id="rId8"/>
      <w:pgSz w:w="11907" w:h="16840" w:code="9"/>
      <w:pgMar w:top="851" w:right="1797" w:bottom="1560" w:left="1797" w:header="720" w:footer="720" w:gutter="0"/>
      <w:paperSrc w:first="1025" w:other="102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8C9" w:rsidRDefault="005128C9">
      <w:pPr>
        <w:spacing w:after="0"/>
      </w:pPr>
      <w:r>
        <w:separator/>
      </w:r>
    </w:p>
  </w:endnote>
  <w:endnote w:type="continuationSeparator" w:id="0">
    <w:p w:rsidR="005128C9" w:rsidRDefault="005128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563" w:rsidRDefault="00E55563">
    <w:pPr>
      <w:pStyle w:val="Footer"/>
    </w:pPr>
    <w:r w:rsidRPr="00E55563"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0D3A649E" wp14:editId="1432CC1B">
          <wp:simplePos x="0" y="0"/>
          <wp:positionH relativeFrom="margin">
            <wp:posOffset>-1133475</wp:posOffset>
          </wp:positionH>
          <wp:positionV relativeFrom="paragraph">
            <wp:posOffset>-299720</wp:posOffset>
          </wp:positionV>
          <wp:extent cx="7513320" cy="8686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32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7522" w:rsidRPr="00AA19C3" w:rsidRDefault="00067522" w:rsidP="00AA19C3">
    <w:pPr>
      <w:pStyle w:val="Footer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8C9" w:rsidRDefault="005128C9">
      <w:pPr>
        <w:spacing w:after="0"/>
      </w:pPr>
      <w:r>
        <w:separator/>
      </w:r>
    </w:p>
  </w:footnote>
  <w:footnote w:type="continuationSeparator" w:id="0">
    <w:p w:rsidR="005128C9" w:rsidRDefault="005128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06B6C23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Heading2"/>
      <w:lvlText w:val="%2."/>
      <w:legacy w:legacy="1" w:legacySpace="113" w:legacyIndent="0"/>
      <w:lvlJc w:val="left"/>
      <w:pPr>
        <w:ind w:left="0" w:firstLine="0"/>
      </w:pPr>
    </w:lvl>
    <w:lvl w:ilvl="2">
      <w:start w:val="1"/>
      <w:numFmt w:val="lowerLetter"/>
      <w:pStyle w:val="Heading3"/>
      <w:lvlText w:val="%3."/>
      <w:legacy w:legacy="1" w:legacySpace="113" w:legacyIndent="0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708" w:hanging="708"/>
      </w:pPr>
    </w:lvl>
    <w:lvl w:ilvl="4">
      <w:start w:val="1"/>
      <w:numFmt w:val="none"/>
      <w:pStyle w:val="Heading5"/>
      <w:suff w:val="nothing"/>
      <w:lvlText w:val=""/>
      <w:lvlJc w:val="left"/>
      <w:pPr>
        <w:ind w:left="708" w:firstLine="0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416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2124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2832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3540" w:hanging="708"/>
      </w:pPr>
    </w:lvl>
  </w:abstractNum>
  <w:abstractNum w:abstractNumId="1" w15:restartNumberingAfterBreak="0">
    <w:nsid w:val="FFFFFFFE"/>
    <w:multiLevelType w:val="singleLevel"/>
    <w:tmpl w:val="D5F23D3C"/>
    <w:lvl w:ilvl="0">
      <w:numFmt w:val="decimal"/>
      <w:lvlText w:val="*"/>
      <w:lvlJc w:val="left"/>
    </w:lvl>
  </w:abstractNum>
  <w:abstractNum w:abstractNumId="2" w15:restartNumberingAfterBreak="0">
    <w:nsid w:val="0B2A726A"/>
    <w:multiLevelType w:val="hybridMultilevel"/>
    <w:tmpl w:val="4CD046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963BC0">
      <w:start w:val="1"/>
      <w:numFmt w:val="bullet"/>
      <w:lvlText w:val="o"/>
      <w:lvlJc w:val="left"/>
      <w:pPr>
        <w:tabs>
          <w:tab w:val="num" w:pos="1336"/>
        </w:tabs>
        <w:ind w:left="1336" w:hanging="616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82FCA"/>
    <w:multiLevelType w:val="hybridMultilevel"/>
    <w:tmpl w:val="198ECA24"/>
    <w:lvl w:ilvl="0" w:tplc="A678CC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516B9"/>
    <w:multiLevelType w:val="hybridMultilevel"/>
    <w:tmpl w:val="BF1E6050"/>
    <w:lvl w:ilvl="0" w:tplc="A678CC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E4EE3"/>
    <w:multiLevelType w:val="hybridMultilevel"/>
    <w:tmpl w:val="54A247DC"/>
    <w:lvl w:ilvl="0" w:tplc="A678CC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349AA"/>
    <w:multiLevelType w:val="hybridMultilevel"/>
    <w:tmpl w:val="63DC86C8"/>
    <w:lvl w:ilvl="0" w:tplc="A678CC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37515"/>
    <w:multiLevelType w:val="hybridMultilevel"/>
    <w:tmpl w:val="E206A628"/>
    <w:lvl w:ilvl="0" w:tplc="1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D973E4"/>
    <w:multiLevelType w:val="hybridMultilevel"/>
    <w:tmpl w:val="A434F91E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751146"/>
    <w:multiLevelType w:val="hybridMultilevel"/>
    <w:tmpl w:val="C0089CD8"/>
    <w:lvl w:ilvl="0" w:tplc="A678CC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D79EC"/>
    <w:multiLevelType w:val="hybridMultilevel"/>
    <w:tmpl w:val="F5C084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1C5703"/>
    <w:multiLevelType w:val="hybridMultilevel"/>
    <w:tmpl w:val="CC4E8872"/>
    <w:lvl w:ilvl="0" w:tplc="A678CC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5015E"/>
    <w:multiLevelType w:val="hybridMultilevel"/>
    <w:tmpl w:val="2AE05442"/>
    <w:lvl w:ilvl="0" w:tplc="1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A068F4"/>
    <w:multiLevelType w:val="hybridMultilevel"/>
    <w:tmpl w:val="43381DF0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9655DB"/>
    <w:multiLevelType w:val="hybridMultilevel"/>
    <w:tmpl w:val="F42E3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21435C"/>
    <w:multiLevelType w:val="hybridMultilevel"/>
    <w:tmpl w:val="BF247142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291713"/>
    <w:multiLevelType w:val="hybridMultilevel"/>
    <w:tmpl w:val="D7E2735E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1630F8"/>
    <w:multiLevelType w:val="hybridMultilevel"/>
    <w:tmpl w:val="99FA7FF2"/>
    <w:lvl w:ilvl="0" w:tplc="A678CC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E25C0"/>
    <w:multiLevelType w:val="hybridMultilevel"/>
    <w:tmpl w:val="D146F44E"/>
    <w:lvl w:ilvl="0" w:tplc="1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AE45FD"/>
    <w:multiLevelType w:val="hybridMultilevel"/>
    <w:tmpl w:val="945AB0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67B16"/>
    <w:multiLevelType w:val="hybridMultilevel"/>
    <w:tmpl w:val="B59EF9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B23AE7"/>
    <w:multiLevelType w:val="hybridMultilevel"/>
    <w:tmpl w:val="DA60187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4D793E"/>
    <w:multiLevelType w:val="hybridMultilevel"/>
    <w:tmpl w:val="23B437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B5DD8"/>
    <w:multiLevelType w:val="hybridMultilevel"/>
    <w:tmpl w:val="1144D5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4">
    <w:abstractNumId w:val="11"/>
  </w:num>
  <w:num w:numId="5">
    <w:abstractNumId w:val="3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22"/>
  </w:num>
  <w:num w:numId="12">
    <w:abstractNumId w:val="21"/>
  </w:num>
  <w:num w:numId="13">
    <w:abstractNumId w:val="19"/>
  </w:num>
  <w:num w:numId="14">
    <w:abstractNumId w:val="23"/>
  </w:num>
  <w:num w:numId="15">
    <w:abstractNumId w:val="10"/>
  </w:num>
  <w:num w:numId="16">
    <w:abstractNumId w:val="20"/>
  </w:num>
  <w:num w:numId="17">
    <w:abstractNumId w:val="14"/>
  </w:num>
  <w:num w:numId="18">
    <w:abstractNumId w:val="2"/>
  </w:num>
  <w:num w:numId="19">
    <w:abstractNumId w:val="15"/>
  </w:num>
  <w:num w:numId="20">
    <w:abstractNumId w:val="13"/>
  </w:num>
  <w:num w:numId="21">
    <w:abstractNumId w:val="8"/>
  </w:num>
  <w:num w:numId="22">
    <w:abstractNumId w:val="16"/>
  </w:num>
  <w:num w:numId="23">
    <w:abstractNumId w:val="7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58"/>
    <w:rsid w:val="00054F40"/>
    <w:rsid w:val="00067522"/>
    <w:rsid w:val="00072B62"/>
    <w:rsid w:val="00100CFB"/>
    <w:rsid w:val="0011367F"/>
    <w:rsid w:val="001908FC"/>
    <w:rsid w:val="001A7E6F"/>
    <w:rsid w:val="002015CB"/>
    <w:rsid w:val="0023514C"/>
    <w:rsid w:val="00240180"/>
    <w:rsid w:val="0029095B"/>
    <w:rsid w:val="00295659"/>
    <w:rsid w:val="002C5628"/>
    <w:rsid w:val="002C7D95"/>
    <w:rsid w:val="002F3001"/>
    <w:rsid w:val="00331918"/>
    <w:rsid w:val="0034739C"/>
    <w:rsid w:val="003B13E6"/>
    <w:rsid w:val="003B5C68"/>
    <w:rsid w:val="003E4B00"/>
    <w:rsid w:val="004072F2"/>
    <w:rsid w:val="00410E27"/>
    <w:rsid w:val="004B5A58"/>
    <w:rsid w:val="0050378A"/>
    <w:rsid w:val="005128C9"/>
    <w:rsid w:val="00544DF2"/>
    <w:rsid w:val="005B7271"/>
    <w:rsid w:val="005C15DB"/>
    <w:rsid w:val="006569A2"/>
    <w:rsid w:val="00680C0C"/>
    <w:rsid w:val="00685355"/>
    <w:rsid w:val="006A334A"/>
    <w:rsid w:val="006B4D9E"/>
    <w:rsid w:val="006E7249"/>
    <w:rsid w:val="00705188"/>
    <w:rsid w:val="00714288"/>
    <w:rsid w:val="00734F4D"/>
    <w:rsid w:val="00751E91"/>
    <w:rsid w:val="0075609C"/>
    <w:rsid w:val="0077547D"/>
    <w:rsid w:val="007B65A0"/>
    <w:rsid w:val="007C71ED"/>
    <w:rsid w:val="007D5E4B"/>
    <w:rsid w:val="00804DF1"/>
    <w:rsid w:val="00820B62"/>
    <w:rsid w:val="00823FAE"/>
    <w:rsid w:val="00824DA3"/>
    <w:rsid w:val="00894F7A"/>
    <w:rsid w:val="009377D7"/>
    <w:rsid w:val="00971FC8"/>
    <w:rsid w:val="009947CB"/>
    <w:rsid w:val="009E326D"/>
    <w:rsid w:val="00A26356"/>
    <w:rsid w:val="00AA19C3"/>
    <w:rsid w:val="00B17F4B"/>
    <w:rsid w:val="00B753C5"/>
    <w:rsid w:val="00B83391"/>
    <w:rsid w:val="00BB3619"/>
    <w:rsid w:val="00BE4888"/>
    <w:rsid w:val="00BE7988"/>
    <w:rsid w:val="00BF1B92"/>
    <w:rsid w:val="00C25917"/>
    <w:rsid w:val="00C30643"/>
    <w:rsid w:val="00CB0AD7"/>
    <w:rsid w:val="00DE49B0"/>
    <w:rsid w:val="00DF73D1"/>
    <w:rsid w:val="00E14B10"/>
    <w:rsid w:val="00E55563"/>
    <w:rsid w:val="00EC39AA"/>
    <w:rsid w:val="00F9054B"/>
    <w:rsid w:val="00FA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D777A6-4388-4337-AA52-3025DAB1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6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120" w:after="120"/>
      <w:jc w:val="center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480" w:after="240"/>
      <w:outlineLvl w:val="1"/>
    </w:pPr>
    <w:rPr>
      <w:rFonts w:ascii="Arial" w:hAnsi="Arial"/>
      <w:b/>
      <w:cap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1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120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120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/>
    </w:pPr>
    <w:rPr>
      <w:sz w:val="12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Normal"/>
    <w:pPr>
      <w:ind w:left="283" w:hanging="283"/>
    </w:pPr>
  </w:style>
  <w:style w:type="paragraph" w:styleId="ListNumber">
    <w:name w:val="List Number"/>
    <w:basedOn w:val="Normal"/>
    <w:pPr>
      <w:ind w:left="283" w:hanging="283"/>
    </w:pPr>
  </w:style>
  <w:style w:type="character" w:styleId="PageNumber">
    <w:name w:val="page number"/>
    <w:basedOn w:val="DefaultParagraphFont"/>
  </w:style>
  <w:style w:type="paragraph" w:customStyle="1" w:styleId="smalltext">
    <w:name w:val="small text"/>
    <w:basedOn w:val="Normal"/>
    <w:rPr>
      <w:rFonts w:ascii="Arial" w:hAnsi="Arial"/>
      <w:sz w:val="16"/>
    </w:rPr>
  </w:style>
  <w:style w:type="paragraph" w:styleId="Title">
    <w:name w:val="Title"/>
    <w:basedOn w:val="Normal"/>
    <w:qFormat/>
    <w:pPr>
      <w:spacing w:before="240"/>
      <w:jc w:val="center"/>
    </w:pPr>
    <w:rPr>
      <w:rFonts w:ascii="Arial" w:hAnsi="Arial"/>
      <w:b/>
      <w:kern w:val="28"/>
      <w:sz w:val="40"/>
    </w:rPr>
  </w:style>
  <w:style w:type="paragraph" w:styleId="TOC1">
    <w:name w:val="toc 1"/>
    <w:basedOn w:val="Normal"/>
    <w:next w:val="Normal"/>
    <w:semiHidden/>
    <w:pPr>
      <w:tabs>
        <w:tab w:val="right" w:pos="8313"/>
      </w:tabs>
      <w:spacing w:before="360" w:after="0"/>
    </w:pPr>
    <w:rPr>
      <w:rFonts w:ascii="Arial" w:hAnsi="Arial"/>
      <w:b/>
      <w:caps/>
    </w:rPr>
  </w:style>
  <w:style w:type="paragraph" w:styleId="TOC2">
    <w:name w:val="toc 2"/>
    <w:basedOn w:val="Normal"/>
    <w:next w:val="Normal"/>
    <w:semiHidden/>
    <w:pPr>
      <w:tabs>
        <w:tab w:val="right" w:pos="8313"/>
      </w:tabs>
      <w:spacing w:before="240" w:after="0"/>
    </w:pPr>
    <w:rPr>
      <w:b/>
      <w:sz w:val="20"/>
    </w:rPr>
  </w:style>
  <w:style w:type="paragraph" w:styleId="TOC3">
    <w:name w:val="toc 3"/>
    <w:basedOn w:val="Normal"/>
    <w:next w:val="Normal"/>
    <w:semiHidden/>
    <w:pPr>
      <w:tabs>
        <w:tab w:val="right" w:pos="8313"/>
      </w:tabs>
      <w:spacing w:after="0"/>
      <w:ind w:left="240"/>
    </w:pPr>
    <w:rPr>
      <w:sz w:val="20"/>
    </w:rPr>
  </w:style>
  <w:style w:type="paragraph" w:styleId="TOC4">
    <w:name w:val="toc 4"/>
    <w:basedOn w:val="Normal"/>
    <w:next w:val="Normal"/>
    <w:semiHidden/>
    <w:pPr>
      <w:tabs>
        <w:tab w:val="right" w:pos="8313"/>
      </w:tabs>
      <w:spacing w:after="0"/>
      <w:ind w:left="480"/>
    </w:pPr>
    <w:rPr>
      <w:sz w:val="20"/>
    </w:rPr>
  </w:style>
  <w:style w:type="paragraph" w:styleId="TOC5">
    <w:name w:val="toc 5"/>
    <w:basedOn w:val="Normal"/>
    <w:next w:val="Normal"/>
    <w:semiHidden/>
    <w:pPr>
      <w:tabs>
        <w:tab w:val="right" w:pos="8313"/>
      </w:tabs>
      <w:spacing w:after="0"/>
      <w:ind w:left="720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pos="8313"/>
      </w:tabs>
      <w:spacing w:after="0"/>
      <w:ind w:left="960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pos="8313"/>
      </w:tabs>
      <w:spacing w:after="0"/>
      <w:ind w:left="1200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pos="8313"/>
      </w:tabs>
      <w:spacing w:after="0"/>
      <w:ind w:left="144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pos="8313"/>
      </w:tabs>
      <w:spacing w:after="0"/>
      <w:ind w:left="1680"/>
    </w:pPr>
    <w:rPr>
      <w:sz w:val="20"/>
    </w:rPr>
  </w:style>
  <w:style w:type="paragraph" w:customStyle="1" w:styleId="Tabletext">
    <w:name w:val="Table text"/>
    <w:basedOn w:val="Normal"/>
    <w:pPr>
      <w:spacing w:after="0"/>
    </w:pPr>
    <w:rPr>
      <w:sz w:val="16"/>
    </w:rPr>
  </w:style>
  <w:style w:type="paragraph" w:styleId="Caption">
    <w:name w:val="caption"/>
    <w:basedOn w:val="Normal"/>
    <w:next w:val="Normal"/>
    <w:qFormat/>
    <w:pPr>
      <w:keepNext/>
      <w:spacing w:before="120" w:after="120"/>
    </w:pPr>
    <w:rPr>
      <w:b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A19C3"/>
    <w:rPr>
      <w:sz w:val="12"/>
      <w:lang w:val="en-GB" w:eastAsia="en-US"/>
    </w:rPr>
  </w:style>
  <w:style w:type="table" w:styleId="TableGrid">
    <w:name w:val="Table Grid"/>
    <w:basedOn w:val="TableNormal"/>
    <w:uiPriority w:val="59"/>
    <w:rsid w:val="0070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4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6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6D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6D5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6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6D5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FA46D5"/>
    <w:pPr>
      <w:ind w:left="720"/>
      <w:contextualSpacing/>
    </w:pPr>
  </w:style>
  <w:style w:type="paragraph" w:styleId="Revision">
    <w:name w:val="Revision"/>
    <w:hidden/>
    <w:uiPriority w:val="99"/>
    <w:semiHidden/>
    <w:rsid w:val="002C5628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11787-61E7-4346-AC19-A3E96DD5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B68E271D</Template>
  <TotalTime>0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 Overdale Drive</vt:lpstr>
    </vt:vector>
  </TitlesOfParts>
  <Company>Pegasus Medical Group</Company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Overdale Drive</dc:title>
  <dc:creator>Daniel Williams</dc:creator>
  <cp:lastModifiedBy>Tracey Sutherland (nee Gulbransen)</cp:lastModifiedBy>
  <cp:revision>2</cp:revision>
  <cp:lastPrinted>2018-01-22T21:43:00Z</cp:lastPrinted>
  <dcterms:created xsi:type="dcterms:W3CDTF">2019-10-02T20:10:00Z</dcterms:created>
  <dcterms:modified xsi:type="dcterms:W3CDTF">2019-10-02T20:10:00Z</dcterms:modified>
</cp:coreProperties>
</file>