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4843"/>
      </w:tblGrid>
      <w:tr w:rsidR="00F03906" w:rsidRPr="0080017F" w14:paraId="05848565" w14:textId="77777777" w:rsidTr="00173ADB">
        <w:tc>
          <w:tcPr>
            <w:tcW w:w="4621" w:type="dxa"/>
            <w:shd w:val="clear" w:color="auto" w:fill="FFFFFF"/>
          </w:tcPr>
          <w:p w14:paraId="0B25183F" w14:textId="10CC7E57" w:rsidR="00F03906" w:rsidRPr="005D339B" w:rsidRDefault="005E2000" w:rsidP="005D339B">
            <w:pPr>
              <w:spacing w:before="240"/>
              <w:ind w:left="-113"/>
              <w:rPr>
                <w:sz w:val="32"/>
                <w:szCs w:val="32"/>
              </w:rPr>
            </w:pPr>
            <w:r>
              <w:rPr>
                <w:b/>
              </w:rPr>
              <w:t xml:space="preserve"> </w:t>
            </w:r>
            <w:r w:rsidR="005D339B" w:rsidRPr="00B77E12">
              <w:rPr>
                <w:b/>
                <w:sz w:val="32"/>
                <w:szCs w:val="32"/>
              </w:rPr>
              <w:t>POSITION DESCRIPTION</w:t>
            </w:r>
          </w:p>
          <w:p w14:paraId="7258D73A" w14:textId="0CBD5C30" w:rsidR="000D6990" w:rsidRDefault="00626589" w:rsidP="005D339B">
            <w:pPr>
              <w:pStyle w:val="Heading3"/>
              <w:spacing w:before="24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="002663F1">
              <w:rPr>
                <w:sz w:val="28"/>
                <w:szCs w:val="28"/>
              </w:rPr>
              <w:t>egional</w:t>
            </w:r>
            <w:r>
              <w:rPr>
                <w:sz w:val="28"/>
                <w:szCs w:val="28"/>
              </w:rPr>
              <w:t xml:space="preserve"> </w:t>
            </w:r>
            <w:r w:rsidR="002663F1">
              <w:rPr>
                <w:sz w:val="28"/>
                <w:szCs w:val="28"/>
              </w:rPr>
              <w:t xml:space="preserve">Clinical </w:t>
            </w:r>
            <w:r w:rsidR="00BE744D">
              <w:rPr>
                <w:sz w:val="28"/>
                <w:szCs w:val="28"/>
              </w:rPr>
              <w:t>Service</w:t>
            </w:r>
            <w:r w:rsidR="002663F1">
              <w:rPr>
                <w:sz w:val="28"/>
                <w:szCs w:val="28"/>
              </w:rPr>
              <w:t xml:space="preserve"> Framework Developer</w:t>
            </w:r>
          </w:p>
          <w:p w14:paraId="291FD52C" w14:textId="7075E526" w:rsidR="00626589" w:rsidRPr="00626589" w:rsidRDefault="00626589" w:rsidP="00626589">
            <w:pPr>
              <w:rPr>
                <w:sz w:val="24"/>
                <w:szCs w:val="24"/>
              </w:rPr>
            </w:pPr>
            <w:r w:rsidRPr="00626589">
              <w:rPr>
                <w:sz w:val="24"/>
                <w:szCs w:val="24"/>
              </w:rPr>
              <w:t>(</w:t>
            </w:r>
            <w:r w:rsidR="006E6D15">
              <w:rPr>
                <w:sz w:val="24"/>
                <w:szCs w:val="24"/>
              </w:rPr>
              <w:t xml:space="preserve">Te Waipounamu </w:t>
            </w:r>
            <w:r w:rsidR="008C1169">
              <w:rPr>
                <w:sz w:val="24"/>
                <w:szCs w:val="24"/>
              </w:rPr>
              <w:t>Regional Clinical Service Development</w:t>
            </w:r>
            <w:r w:rsidRPr="00626589">
              <w:rPr>
                <w:sz w:val="24"/>
                <w:szCs w:val="24"/>
              </w:rPr>
              <w:t>)</w:t>
            </w:r>
          </w:p>
        </w:tc>
        <w:tc>
          <w:tcPr>
            <w:tcW w:w="4843" w:type="dxa"/>
            <w:shd w:val="clear" w:color="auto" w:fill="31849B"/>
            <w:vAlign w:val="center"/>
          </w:tcPr>
          <w:p w14:paraId="4541B9DF" w14:textId="40F28375" w:rsidR="00F03906" w:rsidRPr="0080017F" w:rsidRDefault="009D06E0" w:rsidP="00173ADB">
            <w:pPr>
              <w:spacing w:before="120" w:after="120"/>
              <w:jc w:val="center"/>
              <w:rPr>
                <w:rFonts w:ascii="Lucida Sans Unicode" w:hAnsi="Lucida Sans Unicode"/>
                <w:i/>
                <w:color w:val="FFFFFF"/>
                <w:sz w:val="30"/>
              </w:rPr>
            </w:pPr>
            <w:r>
              <w:rPr>
                <w:rFonts w:ascii="Lucida Sans Unicode" w:hAnsi="Lucida Sans Unicode"/>
                <w:i/>
                <w:color w:val="FFFFFF"/>
                <w:sz w:val="30"/>
              </w:rPr>
              <w:t>Secondment</w:t>
            </w:r>
            <w:r w:rsidR="00DF6BE8">
              <w:rPr>
                <w:rFonts w:ascii="Lucida Sans Unicode" w:hAnsi="Lucida Sans Unicode"/>
                <w:i/>
                <w:color w:val="FFFFFF"/>
                <w:sz w:val="30"/>
              </w:rPr>
              <w:t xml:space="preserve">/ Fixed Term </w:t>
            </w:r>
          </w:p>
        </w:tc>
      </w:tr>
    </w:tbl>
    <w:p w14:paraId="47FE1DF3" w14:textId="77777777" w:rsidR="00244485" w:rsidRDefault="00244485" w:rsidP="00CA3994">
      <w:pPr>
        <w:pStyle w:val="NoSpacing"/>
        <w:jc w:val="right"/>
      </w:pPr>
    </w:p>
    <w:p w14:paraId="21B334EE" w14:textId="5650A154" w:rsidR="002E2395" w:rsidRDefault="00DF6BE8" w:rsidP="00626589">
      <w:pPr>
        <w:spacing w:after="0"/>
        <w:ind w:firstLine="720"/>
        <w:jc w:val="right"/>
      </w:pPr>
      <w:r>
        <w:t>July 2025</w:t>
      </w:r>
      <w:r w:rsidR="002E2395">
        <w:t xml:space="preserve">                                                         </w:t>
      </w:r>
    </w:p>
    <w:p w14:paraId="138C2C16" w14:textId="59190DD6" w:rsidR="00F03906" w:rsidRDefault="00F03906" w:rsidP="00780692">
      <w:pPr>
        <w:spacing w:after="0"/>
        <w:jc w:val="right"/>
      </w:pPr>
    </w:p>
    <w:p w14:paraId="1F0608F8" w14:textId="77777777" w:rsidR="00780692" w:rsidRDefault="00780692" w:rsidP="00780692">
      <w:pPr>
        <w:spacing w:after="0"/>
        <w:jc w:val="right"/>
      </w:pPr>
    </w:p>
    <w:tbl>
      <w:tblPr>
        <w:tblW w:w="921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148"/>
        <w:gridCol w:w="6066"/>
      </w:tblGrid>
      <w:tr w:rsidR="005D339B" w:rsidRPr="0080017F" w14:paraId="1D6C8EB6" w14:textId="77777777" w:rsidTr="00EC3A51">
        <w:trPr>
          <w:cantSplit/>
        </w:trPr>
        <w:tc>
          <w:tcPr>
            <w:tcW w:w="3148" w:type="dxa"/>
          </w:tcPr>
          <w:p w14:paraId="346F18EE" w14:textId="59174F5B" w:rsidR="005D339B" w:rsidRPr="00E566F8" w:rsidRDefault="005D339B" w:rsidP="005D339B">
            <w:pPr>
              <w:spacing w:before="60" w:after="120"/>
              <w:rPr>
                <w:rStyle w:val="Heading3Char"/>
              </w:rPr>
            </w:pPr>
            <w:r w:rsidRPr="00B77E12">
              <w:rPr>
                <w:rStyle w:val="Heading3Char"/>
                <w:rFonts w:eastAsiaTheme="minorHAnsi"/>
                <w:b/>
                <w:sz w:val="22"/>
                <w:szCs w:val="22"/>
              </w:rPr>
              <w:t>POSITION TITLE:</w:t>
            </w:r>
          </w:p>
        </w:tc>
        <w:tc>
          <w:tcPr>
            <w:tcW w:w="6066" w:type="dxa"/>
          </w:tcPr>
          <w:p w14:paraId="2BA9CC48" w14:textId="7750A110" w:rsidR="002663F1" w:rsidRDefault="00626589" w:rsidP="002663F1">
            <w:pPr>
              <w:pStyle w:val="Heading3"/>
              <w:spacing w:before="240" w:after="200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Regional (</w:t>
            </w:r>
            <w:r w:rsidR="00CD5247">
              <w:rPr>
                <w:sz w:val="22"/>
                <w:szCs w:val="22"/>
              </w:rPr>
              <w:t>Te Waipounamu</w:t>
            </w:r>
            <w:r>
              <w:rPr>
                <w:sz w:val="22"/>
                <w:szCs w:val="22"/>
              </w:rPr>
              <w:t>)</w:t>
            </w:r>
            <w:r w:rsidR="002663F1" w:rsidRPr="002663F1">
              <w:rPr>
                <w:smallCaps w:val="0"/>
                <w:spacing w:val="0"/>
                <w:sz w:val="22"/>
                <w:szCs w:val="22"/>
                <w:lang w:val="en-GB"/>
              </w:rPr>
              <w:t xml:space="preserve"> Clinical Service Framework Developer</w:t>
            </w:r>
          </w:p>
          <w:p w14:paraId="4351350A" w14:textId="2C0EB8F4" w:rsidR="005D339B" w:rsidRPr="00F7220D" w:rsidRDefault="005D339B" w:rsidP="005D339B">
            <w:pPr>
              <w:spacing w:before="60" w:after="60" w:line="240" w:lineRule="auto"/>
              <w:rPr>
                <w:sz w:val="22"/>
                <w:szCs w:val="22"/>
              </w:rPr>
            </w:pPr>
          </w:p>
        </w:tc>
      </w:tr>
      <w:tr w:rsidR="005D339B" w:rsidRPr="0080017F" w14:paraId="2B21058D" w14:textId="77777777" w:rsidTr="00EC3A51">
        <w:trPr>
          <w:cantSplit/>
        </w:trPr>
        <w:tc>
          <w:tcPr>
            <w:tcW w:w="3148" w:type="dxa"/>
          </w:tcPr>
          <w:p w14:paraId="1A6C18FB" w14:textId="77777777" w:rsidR="005D339B" w:rsidRDefault="005D339B" w:rsidP="005D339B">
            <w:pPr>
              <w:spacing w:before="60" w:after="120" w:line="240" w:lineRule="auto"/>
              <w:rPr>
                <w:rStyle w:val="Heading3Char"/>
                <w:rFonts w:eastAsiaTheme="minorHAnsi"/>
                <w:b/>
                <w:sz w:val="22"/>
                <w:szCs w:val="22"/>
              </w:rPr>
            </w:pPr>
            <w:r w:rsidRPr="00B77E12">
              <w:rPr>
                <w:rStyle w:val="Heading3Char"/>
                <w:rFonts w:eastAsiaTheme="minorHAnsi"/>
                <w:b/>
                <w:sz w:val="22"/>
                <w:szCs w:val="22"/>
              </w:rPr>
              <w:t>REPORTS TO:</w:t>
            </w:r>
          </w:p>
          <w:p w14:paraId="6B8142E5" w14:textId="77777777" w:rsidR="009D06E0" w:rsidRDefault="009D06E0" w:rsidP="005D339B">
            <w:pPr>
              <w:spacing w:before="60" w:after="120" w:line="240" w:lineRule="auto"/>
              <w:rPr>
                <w:rStyle w:val="Heading3Char"/>
                <w:rFonts w:eastAsiaTheme="minorHAnsi"/>
                <w:b/>
                <w:sz w:val="22"/>
                <w:szCs w:val="22"/>
              </w:rPr>
            </w:pPr>
          </w:p>
          <w:p w14:paraId="7B35005B" w14:textId="77777777" w:rsidR="009D06E0" w:rsidRDefault="009D06E0" w:rsidP="005D339B">
            <w:pPr>
              <w:spacing w:before="60" w:after="120" w:line="240" w:lineRule="auto"/>
              <w:rPr>
                <w:rStyle w:val="Heading3Char"/>
                <w:rFonts w:eastAsiaTheme="minorHAnsi"/>
                <w:b/>
                <w:sz w:val="22"/>
                <w:szCs w:val="22"/>
              </w:rPr>
            </w:pPr>
          </w:p>
          <w:p w14:paraId="68AB99EE" w14:textId="3AB6D4DC" w:rsidR="009D06E0" w:rsidRPr="00E566F8" w:rsidRDefault="009D06E0" w:rsidP="005D339B">
            <w:pPr>
              <w:spacing w:before="60" w:after="120" w:line="240" w:lineRule="auto"/>
              <w:rPr>
                <w:rStyle w:val="Heading3Char"/>
              </w:rPr>
            </w:pPr>
            <w:r>
              <w:rPr>
                <w:rStyle w:val="Heading3Char"/>
                <w:rFonts w:eastAsiaTheme="minorHAnsi"/>
                <w:b/>
                <w:sz w:val="22"/>
                <w:szCs w:val="22"/>
              </w:rPr>
              <w:t>Fixed term</w:t>
            </w:r>
          </w:p>
        </w:tc>
        <w:tc>
          <w:tcPr>
            <w:tcW w:w="6066" w:type="dxa"/>
          </w:tcPr>
          <w:p w14:paraId="1A3D3A0C" w14:textId="0510493F" w:rsidR="005D339B" w:rsidRDefault="00626589" w:rsidP="005D339B">
            <w:pPr>
              <w:spacing w:before="60" w:after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 xml:space="preserve">This position </w:t>
            </w:r>
            <w:r w:rsidR="004D3130">
              <w:rPr>
                <w:sz w:val="22"/>
                <w:szCs w:val="22"/>
                <w:lang w:val="en-GB"/>
              </w:rPr>
              <w:t>is</w:t>
            </w:r>
            <w:r>
              <w:rPr>
                <w:sz w:val="22"/>
                <w:szCs w:val="22"/>
                <w:lang w:val="en-GB"/>
              </w:rPr>
              <w:t xml:space="preserve"> accountable</w:t>
            </w:r>
            <w:r w:rsidRPr="00155A24">
              <w:rPr>
                <w:sz w:val="22"/>
                <w:szCs w:val="22"/>
                <w:lang w:val="en-GB"/>
              </w:rPr>
              <w:t xml:space="preserve"> to the </w:t>
            </w:r>
            <w:r w:rsidR="006E6D15">
              <w:rPr>
                <w:sz w:val="22"/>
                <w:szCs w:val="22"/>
              </w:rPr>
              <w:t>Te Waipounamu Programme Manager HSS</w:t>
            </w:r>
          </w:p>
          <w:p w14:paraId="285C3B0E" w14:textId="279071CC" w:rsidR="00626589" w:rsidRDefault="00FB4C4B" w:rsidP="005D339B">
            <w:pPr>
              <w:spacing w:before="60" w:after="60" w:line="240" w:lineRule="aut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Position hol</w:t>
            </w:r>
            <w:r w:rsidR="00EC6432">
              <w:rPr>
                <w:sz w:val="22"/>
                <w:szCs w:val="22"/>
                <w:lang w:val="en-GB"/>
              </w:rPr>
              <w:t xml:space="preserve">der </w:t>
            </w:r>
            <w:r w:rsidR="004D3130">
              <w:rPr>
                <w:sz w:val="22"/>
                <w:szCs w:val="22"/>
                <w:lang w:val="en-GB"/>
              </w:rPr>
              <w:t xml:space="preserve">will </w:t>
            </w:r>
            <w:r w:rsidR="00EC6432">
              <w:rPr>
                <w:sz w:val="22"/>
                <w:szCs w:val="22"/>
                <w:lang w:val="en-GB"/>
              </w:rPr>
              <w:t>work closely with</w:t>
            </w:r>
            <w:r>
              <w:rPr>
                <w:sz w:val="22"/>
                <w:szCs w:val="22"/>
                <w:lang w:val="en-GB"/>
              </w:rPr>
              <w:t xml:space="preserve"> the </w:t>
            </w:r>
            <w:r w:rsidR="00011D19">
              <w:rPr>
                <w:sz w:val="22"/>
                <w:szCs w:val="22"/>
                <w:lang w:val="en-GB"/>
              </w:rPr>
              <w:t xml:space="preserve">relevant </w:t>
            </w:r>
            <w:r w:rsidR="00CD5247">
              <w:rPr>
                <w:sz w:val="22"/>
                <w:szCs w:val="22"/>
                <w:lang w:val="en-GB"/>
              </w:rPr>
              <w:t>clinical</w:t>
            </w:r>
            <w:r w:rsidR="006E6D15">
              <w:rPr>
                <w:sz w:val="22"/>
                <w:szCs w:val="22"/>
                <w:lang w:val="en-GB"/>
              </w:rPr>
              <w:t xml:space="preserve"> leads</w:t>
            </w:r>
            <w:r w:rsidR="00DF6BE8">
              <w:rPr>
                <w:sz w:val="22"/>
                <w:szCs w:val="22"/>
                <w:lang w:val="en-GB"/>
              </w:rPr>
              <w:t>, managers and key stakeholders across Te Waipounamu.</w:t>
            </w:r>
          </w:p>
          <w:p w14:paraId="006FC374" w14:textId="77777777" w:rsidR="009D06E0" w:rsidRPr="00155A24" w:rsidRDefault="009D06E0" w:rsidP="005D339B">
            <w:pPr>
              <w:spacing w:before="60" w:after="60" w:line="240" w:lineRule="auto"/>
              <w:rPr>
                <w:sz w:val="22"/>
                <w:szCs w:val="22"/>
                <w:lang w:val="en-GB"/>
              </w:rPr>
            </w:pPr>
          </w:p>
          <w:p w14:paraId="39E89821" w14:textId="5F3B9D09" w:rsidR="005D339B" w:rsidRPr="00F7220D" w:rsidRDefault="00DF6BE8" w:rsidP="005D339B">
            <w:pPr>
              <w:spacing w:before="60" w:after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six months (potential to extend depending on work program)</w:t>
            </w:r>
          </w:p>
        </w:tc>
      </w:tr>
      <w:tr w:rsidR="00F03906" w:rsidRPr="0080017F" w14:paraId="0815BF74" w14:textId="77777777" w:rsidTr="00EC3A51">
        <w:tc>
          <w:tcPr>
            <w:tcW w:w="9214" w:type="dxa"/>
            <w:gridSpan w:val="2"/>
          </w:tcPr>
          <w:p w14:paraId="24CE08FC" w14:textId="77777777" w:rsidR="00887300" w:rsidRDefault="00887300" w:rsidP="00560A88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3EAD2997" w14:textId="43AED27E" w:rsidR="00BD36FF" w:rsidRPr="00887300" w:rsidRDefault="00887300" w:rsidP="00560A88">
            <w:pPr>
              <w:spacing w:before="40" w:after="4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887300">
              <w:rPr>
                <w:rFonts w:asciiTheme="minorHAnsi" w:hAnsiTheme="minorHAnsi"/>
                <w:b/>
                <w:sz w:val="22"/>
                <w:szCs w:val="22"/>
              </w:rPr>
              <w:t>ROLE REQUIREMENTS</w:t>
            </w:r>
          </w:p>
          <w:p w14:paraId="36205FB6" w14:textId="69D61870" w:rsidR="00BE744D" w:rsidRDefault="00EC3A51" w:rsidP="00560A88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</w:t>
            </w:r>
            <w:r w:rsidR="00792ACA">
              <w:rPr>
                <w:rFonts w:asciiTheme="minorHAnsi" w:hAnsiTheme="minorHAnsi"/>
                <w:sz w:val="22"/>
                <w:szCs w:val="22"/>
              </w:rPr>
              <w:t>he role requir</w:t>
            </w:r>
            <w:r w:rsidR="00BE744D">
              <w:rPr>
                <w:rFonts w:asciiTheme="minorHAnsi" w:hAnsiTheme="minorHAnsi"/>
                <w:sz w:val="22"/>
                <w:szCs w:val="22"/>
              </w:rPr>
              <w:t>es</w:t>
            </w:r>
            <w:r w:rsidR="00792ACA">
              <w:rPr>
                <w:rFonts w:asciiTheme="minorHAnsi" w:hAnsiTheme="minorHAnsi"/>
                <w:sz w:val="22"/>
                <w:szCs w:val="22"/>
              </w:rPr>
              <w:t xml:space="preserve"> a range of </w:t>
            </w:r>
            <w:r w:rsidR="00BE744D">
              <w:rPr>
                <w:rFonts w:asciiTheme="minorHAnsi" w:hAnsiTheme="minorHAnsi"/>
                <w:sz w:val="22"/>
                <w:szCs w:val="22"/>
              </w:rPr>
              <w:t xml:space="preserve">project </w:t>
            </w:r>
            <w:r w:rsidR="00792ACA">
              <w:rPr>
                <w:rFonts w:asciiTheme="minorHAnsi" w:hAnsiTheme="minorHAnsi"/>
                <w:sz w:val="22"/>
                <w:szCs w:val="22"/>
              </w:rPr>
              <w:t xml:space="preserve">skills at </w:t>
            </w:r>
            <w:r w:rsidR="00DF6BE8">
              <w:rPr>
                <w:rFonts w:asciiTheme="minorHAnsi" w:hAnsiTheme="minorHAnsi"/>
                <w:sz w:val="22"/>
                <w:szCs w:val="22"/>
              </w:rPr>
              <w:t xml:space="preserve">a </w:t>
            </w:r>
            <w:r w:rsidR="00792ACA">
              <w:rPr>
                <w:rFonts w:asciiTheme="minorHAnsi" w:hAnsiTheme="minorHAnsi"/>
                <w:sz w:val="22"/>
                <w:szCs w:val="22"/>
              </w:rPr>
              <w:t xml:space="preserve">senior level </w:t>
            </w:r>
            <w:r w:rsidR="00011D19">
              <w:rPr>
                <w:rFonts w:asciiTheme="minorHAnsi" w:hAnsiTheme="minorHAnsi"/>
                <w:sz w:val="22"/>
                <w:szCs w:val="22"/>
              </w:rPr>
              <w:t>with</w:t>
            </w:r>
            <w:r w:rsidR="00792ACA">
              <w:rPr>
                <w:rFonts w:asciiTheme="minorHAnsi" w:hAnsiTheme="minorHAnsi"/>
                <w:sz w:val="22"/>
                <w:szCs w:val="22"/>
              </w:rPr>
              <w:t xml:space="preserve"> a </w:t>
            </w:r>
            <w:r w:rsidR="00011D19">
              <w:rPr>
                <w:rFonts w:asciiTheme="minorHAnsi" w:hAnsiTheme="minorHAnsi"/>
                <w:sz w:val="22"/>
                <w:szCs w:val="22"/>
              </w:rPr>
              <w:t>significant</w:t>
            </w:r>
            <w:r w:rsidR="00792ACA">
              <w:rPr>
                <w:rFonts w:asciiTheme="minorHAnsi" w:hAnsiTheme="minorHAnsi"/>
                <w:sz w:val="22"/>
                <w:szCs w:val="22"/>
              </w:rPr>
              <w:t xml:space="preserve"> experience base</w:t>
            </w:r>
            <w:r w:rsidR="00DF6BE8">
              <w:rPr>
                <w:rFonts w:asciiTheme="minorHAnsi" w:hAnsiTheme="minorHAnsi"/>
                <w:sz w:val="22"/>
                <w:szCs w:val="22"/>
              </w:rPr>
              <w:t xml:space="preserve"> in clinical engagement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DF6BE8">
              <w:rPr>
                <w:rFonts w:asciiTheme="minorHAnsi" w:hAnsiTheme="minorHAnsi"/>
                <w:sz w:val="22"/>
                <w:szCs w:val="22"/>
              </w:rPr>
              <w:t xml:space="preserve">system design and will be </w:t>
            </w:r>
            <w:r>
              <w:rPr>
                <w:rFonts w:asciiTheme="minorHAnsi" w:hAnsiTheme="minorHAnsi"/>
                <w:sz w:val="22"/>
                <w:szCs w:val="22"/>
              </w:rPr>
              <w:t>accountable</w:t>
            </w:r>
            <w:r w:rsidR="00DF6BE8">
              <w:rPr>
                <w:rFonts w:asciiTheme="minorHAnsi" w:hAnsiTheme="minorHAnsi"/>
                <w:sz w:val="22"/>
                <w:szCs w:val="22"/>
              </w:rPr>
              <w:t xml:space="preserve"> for the delivery of a Te Waipounamu clinical services and capability library</w:t>
            </w:r>
            <w:r w:rsidR="00792AC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D8ECCD4" w14:textId="77777777" w:rsidR="00BE744D" w:rsidRDefault="00BE744D" w:rsidP="00560A88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0A4D17B8" w14:textId="6D9EC6CB" w:rsidR="00792ACA" w:rsidRDefault="00792ACA" w:rsidP="00560A88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The Regional </w:t>
            </w:r>
            <w:r w:rsidR="00DF6BE8" w:rsidRPr="00DF6BE8">
              <w:rPr>
                <w:rFonts w:asciiTheme="minorHAnsi" w:hAnsiTheme="minorHAnsi"/>
                <w:sz w:val="22"/>
                <w:szCs w:val="22"/>
              </w:rPr>
              <w:t>Clinical Service Framework Developer</w:t>
            </w:r>
            <w:r w:rsidR="00BE744D">
              <w:rPr>
                <w:rFonts w:asciiTheme="minorHAnsi" w:hAnsiTheme="minorHAnsi"/>
                <w:sz w:val="22"/>
                <w:szCs w:val="22"/>
              </w:rPr>
              <w:t xml:space="preserve"> will need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to deliver outcomes for the </w:t>
            </w:r>
            <w:r w:rsidR="006E6D15">
              <w:rPr>
                <w:rFonts w:asciiTheme="minorHAnsi" w:hAnsiTheme="minorHAnsi"/>
                <w:sz w:val="22"/>
                <w:szCs w:val="22"/>
              </w:rPr>
              <w:t>region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based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in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strong,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trust based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working relationships </w:t>
            </w:r>
            <w:r w:rsidR="00BD36FF">
              <w:rPr>
                <w:rFonts w:asciiTheme="minorHAnsi" w:hAnsiTheme="minorHAnsi"/>
                <w:sz w:val="22"/>
                <w:szCs w:val="22"/>
              </w:rPr>
              <w:t>with senior managers</w:t>
            </w:r>
            <w:r w:rsidR="00E13C1E">
              <w:rPr>
                <w:rFonts w:asciiTheme="minorHAnsi" w:hAnsiTheme="minorHAnsi"/>
                <w:sz w:val="22"/>
                <w:szCs w:val="22"/>
              </w:rPr>
              <w:t>,</w:t>
            </w:r>
            <w:r w:rsidR="00887300">
              <w:rPr>
                <w:rFonts w:asciiTheme="minorHAnsi" w:hAnsiTheme="minorHAnsi"/>
                <w:sz w:val="22"/>
                <w:szCs w:val="22"/>
              </w:rPr>
              <w:t xml:space="preserve"> senior clinicians</w:t>
            </w:r>
            <w:r w:rsidR="00E13C1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and other </w:t>
            </w:r>
            <w:r w:rsidR="00EC3A51">
              <w:rPr>
                <w:rFonts w:asciiTheme="minorHAnsi" w:hAnsiTheme="minorHAnsi"/>
                <w:sz w:val="22"/>
                <w:szCs w:val="22"/>
              </w:rPr>
              <w:t>enablers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from across the health spectrum.</w:t>
            </w:r>
          </w:p>
          <w:p w14:paraId="4D6FDC1F" w14:textId="77777777" w:rsidR="00011D19" w:rsidRDefault="00011D19" w:rsidP="00560A88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217D179D" w14:textId="77777777" w:rsidR="00EC3A51" w:rsidRDefault="00792ACA" w:rsidP="00560A88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 baseline function </w:t>
            </w:r>
            <w:r w:rsidR="00DF6BE8">
              <w:rPr>
                <w:rFonts w:asciiTheme="minorHAnsi" w:hAnsiTheme="minorHAnsi"/>
                <w:sz w:val="22"/>
                <w:szCs w:val="22"/>
              </w:rPr>
              <w:t xml:space="preserve">of the position is to deliver a regional library containing the clinical and service capability </w:t>
            </w:r>
            <w:r w:rsidR="00EC3A51">
              <w:rPr>
                <w:rFonts w:asciiTheme="minorHAnsi" w:hAnsiTheme="minorHAnsi"/>
                <w:sz w:val="22"/>
                <w:szCs w:val="22"/>
              </w:rPr>
              <w:t>of all Hospital and Specialist Services across Te Waipounamu. This repository will be used for future planning of services across the region.</w:t>
            </w:r>
          </w:p>
          <w:p w14:paraId="16BB7DCD" w14:textId="77777777" w:rsidR="00EC3A51" w:rsidRDefault="00EC3A51" w:rsidP="00560A88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30B57DA9" w14:textId="38FA4786" w:rsidR="00792ACA" w:rsidRDefault="00792ACA" w:rsidP="00560A88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This </w:t>
            </w:r>
            <w:r w:rsidR="00EC3A51">
              <w:rPr>
                <w:rFonts w:asciiTheme="minorHAnsi" w:hAnsiTheme="minorHAnsi"/>
                <w:sz w:val="22"/>
                <w:szCs w:val="22"/>
              </w:rPr>
              <w:t xml:space="preserve">work will require the successful applicant to have </w:t>
            </w: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="00887300">
              <w:rPr>
                <w:rFonts w:asciiTheme="minorHAnsi" w:hAnsiTheme="minorHAnsi"/>
                <w:sz w:val="22"/>
                <w:szCs w:val="22"/>
              </w:rPr>
              <w:t>dvanced skills in facilitati</w:t>
            </w:r>
            <w:r>
              <w:rPr>
                <w:rFonts w:asciiTheme="minorHAnsi" w:hAnsiTheme="minorHAnsi"/>
                <w:sz w:val="22"/>
                <w:szCs w:val="22"/>
              </w:rPr>
              <w:t>on,</w:t>
            </w:r>
            <w:r w:rsidR="00EC3A51">
              <w:rPr>
                <w:rFonts w:asciiTheme="minorHAnsi" w:hAnsiTheme="minorHAnsi"/>
                <w:sz w:val="22"/>
                <w:szCs w:val="22"/>
              </w:rPr>
              <w:t xml:space="preserve"> project management and system design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C3A51">
              <w:rPr>
                <w:rFonts w:asciiTheme="minorHAnsi" w:hAnsiTheme="minorHAnsi"/>
                <w:sz w:val="22"/>
                <w:szCs w:val="22"/>
              </w:rPr>
              <w:t>as the delivery of the capability library will require engagement with a range</w:t>
            </w:r>
            <w:r w:rsidR="009E34B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of subject matter experts </w:t>
            </w:r>
            <w:r w:rsidR="00887300">
              <w:rPr>
                <w:rFonts w:asciiTheme="minorHAnsi" w:hAnsiTheme="minorHAnsi"/>
                <w:sz w:val="22"/>
                <w:szCs w:val="22"/>
              </w:rPr>
              <w:t xml:space="preserve">from across </w:t>
            </w:r>
            <w:r>
              <w:rPr>
                <w:rFonts w:asciiTheme="minorHAnsi" w:hAnsiTheme="minorHAnsi"/>
                <w:sz w:val="22"/>
                <w:szCs w:val="22"/>
              </w:rPr>
              <w:t>the health</w:t>
            </w:r>
            <w:r w:rsidR="00EC3A51">
              <w:rPr>
                <w:rFonts w:asciiTheme="minorHAnsi" w:hAnsiTheme="minorHAnsi"/>
                <w:sz w:val="22"/>
                <w:szCs w:val="22"/>
              </w:rPr>
              <w:t xml:space="preserve"> spectrum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 Successful interaction with these participants therefore requires the </w:t>
            </w:r>
            <w:r w:rsidR="009E34BF">
              <w:rPr>
                <w:rFonts w:asciiTheme="minorHAnsi" w:hAnsiTheme="minorHAnsi"/>
                <w:sz w:val="22"/>
                <w:szCs w:val="22"/>
              </w:rPr>
              <w:t>position</w:t>
            </w:r>
            <w:r w:rsidR="00BE744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to have significant </w:t>
            </w:r>
            <w:r w:rsidR="00887300">
              <w:rPr>
                <w:rFonts w:asciiTheme="minorHAnsi" w:hAnsiTheme="minorHAnsi"/>
                <w:sz w:val="22"/>
                <w:szCs w:val="22"/>
              </w:rPr>
              <w:t xml:space="preserve">clinical </w:t>
            </w:r>
            <w:r>
              <w:rPr>
                <w:rFonts w:asciiTheme="minorHAnsi" w:hAnsiTheme="minorHAnsi"/>
                <w:sz w:val="22"/>
                <w:szCs w:val="22"/>
              </w:rPr>
              <w:t>and/</w:t>
            </w:r>
            <w:r w:rsidR="00887300">
              <w:rPr>
                <w:rFonts w:asciiTheme="minorHAnsi" w:hAnsiTheme="minorHAnsi"/>
                <w:sz w:val="22"/>
                <w:szCs w:val="22"/>
              </w:rPr>
              <w:t xml:space="preserve">or managerial </w:t>
            </w:r>
            <w:r w:rsidR="00011D19">
              <w:rPr>
                <w:rFonts w:asciiTheme="minorHAnsi" w:hAnsiTheme="minorHAnsi"/>
                <w:sz w:val="22"/>
                <w:szCs w:val="22"/>
              </w:rPr>
              <w:t xml:space="preserve">process, </w:t>
            </w:r>
            <w:r w:rsidR="00887300">
              <w:rPr>
                <w:rFonts w:asciiTheme="minorHAnsi" w:hAnsiTheme="minorHAnsi"/>
                <w:sz w:val="22"/>
                <w:szCs w:val="22"/>
              </w:rPr>
              <w:t xml:space="preserve">knowledge </w:t>
            </w:r>
            <w:r w:rsidR="00011D19">
              <w:rPr>
                <w:rFonts w:asciiTheme="minorHAnsi" w:hAnsiTheme="minorHAnsi"/>
                <w:sz w:val="22"/>
                <w:szCs w:val="22"/>
              </w:rPr>
              <w:t xml:space="preserve">and experience </w:t>
            </w:r>
            <w:r>
              <w:rPr>
                <w:rFonts w:asciiTheme="minorHAnsi" w:hAnsiTheme="minorHAnsi"/>
                <w:sz w:val="22"/>
                <w:szCs w:val="22"/>
              </w:rPr>
              <w:t>from a health or social sector context.</w:t>
            </w:r>
          </w:p>
          <w:p w14:paraId="1CB48C8D" w14:textId="77777777" w:rsidR="006E6D15" w:rsidRDefault="006E6D15" w:rsidP="00560A88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22AC92F7" w14:textId="7496A3A3" w:rsidR="00A733A0" w:rsidRPr="009E34BF" w:rsidRDefault="00792ACA" w:rsidP="009E34BF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Given that all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programmes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of work are required to define detailed workplans and associated deliverables against clear milestones and dates, the </w:t>
            </w:r>
            <w:r w:rsidR="006A09C3">
              <w:rPr>
                <w:rFonts w:asciiTheme="minorHAnsi" w:hAnsiTheme="minorHAnsi"/>
                <w:sz w:val="22"/>
                <w:szCs w:val="22"/>
              </w:rPr>
              <w:t xml:space="preserve">components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of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programme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and project management </w:t>
            </w:r>
            <w:r w:rsidR="006A09C3">
              <w:rPr>
                <w:rFonts w:asciiTheme="minorHAnsi" w:hAnsiTheme="minorHAnsi"/>
                <w:sz w:val="22"/>
                <w:szCs w:val="22"/>
              </w:rPr>
              <w:t xml:space="preserve">are also required in the skillset. </w:t>
            </w:r>
          </w:p>
          <w:p w14:paraId="6F2C0DAE" w14:textId="0E936B45" w:rsidR="00A733A0" w:rsidRDefault="00A733A0" w:rsidP="002D6581">
            <w:pPr>
              <w:spacing w:before="60" w:after="60" w:line="240" w:lineRule="auto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91348FD" w14:textId="77777777" w:rsidR="006E5E7E" w:rsidRDefault="006E5E7E" w:rsidP="006E5E7E">
      <w:pPr>
        <w:rPr>
          <w:rFonts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52"/>
        <w:gridCol w:w="3755"/>
        <w:gridCol w:w="3538"/>
      </w:tblGrid>
      <w:tr w:rsidR="006E5E7E" w:rsidRPr="00E378CA" w14:paraId="457CE3E4" w14:textId="77777777" w:rsidTr="00A94759">
        <w:trPr>
          <w:trHeight w:val="3486"/>
        </w:trPr>
        <w:tc>
          <w:tcPr>
            <w:tcW w:w="1098" w:type="pct"/>
          </w:tcPr>
          <w:p w14:paraId="63E3D844" w14:textId="77777777" w:rsidR="006E5E7E" w:rsidRPr="006E5E7E" w:rsidRDefault="006E5E7E" w:rsidP="00A94759">
            <w:pPr>
              <w:pStyle w:val="NoSpacing"/>
              <w:spacing w:before="40" w:after="40"/>
              <w:ind w:left="40" w:right="40"/>
              <w:rPr>
                <w:rFonts w:asciiTheme="minorHAnsi" w:hAnsiTheme="minorHAnsi"/>
                <w:b/>
              </w:rPr>
            </w:pPr>
            <w:r w:rsidRPr="006E5E7E">
              <w:rPr>
                <w:rFonts w:asciiTheme="minorHAnsi" w:hAnsiTheme="minorHAnsi"/>
                <w:b/>
              </w:rPr>
              <w:t>Key Responsibilities</w:t>
            </w:r>
          </w:p>
        </w:tc>
        <w:tc>
          <w:tcPr>
            <w:tcW w:w="3902" w:type="pct"/>
            <w:gridSpan w:val="2"/>
          </w:tcPr>
          <w:p w14:paraId="25D7E08E" w14:textId="08B28165" w:rsidR="00F17F3D" w:rsidRDefault="009A7405" w:rsidP="006E5E7E">
            <w:pPr>
              <w:pStyle w:val="NoSpacing"/>
              <w:numPr>
                <w:ilvl w:val="0"/>
                <w:numId w:val="16"/>
              </w:numPr>
              <w:ind w:right="4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Delivery of a regional clinical services and capability library</w:t>
            </w:r>
            <w:r w:rsidRPr="006E5E7E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for t</w:t>
            </w:r>
            <w:r w:rsidR="002B4D73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e purpose of enhancing future planning and delivery of services.</w:t>
            </w:r>
          </w:p>
          <w:p w14:paraId="7DE74A81" w14:textId="710B6BDC" w:rsidR="006E5E7E" w:rsidRPr="002B4D73" w:rsidRDefault="006E5E7E" w:rsidP="002B4D73">
            <w:pPr>
              <w:pStyle w:val="NoSpacing"/>
              <w:numPr>
                <w:ilvl w:val="0"/>
                <w:numId w:val="16"/>
              </w:numPr>
              <w:ind w:right="40"/>
              <w:jc w:val="left"/>
              <w:rPr>
                <w:rFonts w:asciiTheme="minorHAnsi" w:hAnsiTheme="minorHAnsi"/>
              </w:rPr>
            </w:pPr>
            <w:r w:rsidRPr="006E5E7E">
              <w:rPr>
                <w:rFonts w:asciiTheme="minorHAnsi" w:hAnsiTheme="minorHAnsi"/>
              </w:rPr>
              <w:t xml:space="preserve">To work closely with the </w:t>
            </w:r>
            <w:r w:rsidR="006E6D15">
              <w:rPr>
                <w:rFonts w:asciiTheme="minorHAnsi" w:hAnsiTheme="minorHAnsi"/>
              </w:rPr>
              <w:t xml:space="preserve">Clinical </w:t>
            </w:r>
            <w:r w:rsidR="00BE74B0">
              <w:rPr>
                <w:rFonts w:asciiTheme="minorHAnsi" w:hAnsiTheme="minorHAnsi"/>
              </w:rPr>
              <w:t>Leaders</w:t>
            </w:r>
            <w:r w:rsidRPr="006E5E7E">
              <w:rPr>
                <w:rFonts w:asciiTheme="minorHAnsi" w:hAnsiTheme="minorHAnsi"/>
              </w:rPr>
              <w:t xml:space="preserve"> </w:t>
            </w:r>
            <w:r w:rsidR="009B49C5">
              <w:rPr>
                <w:rFonts w:asciiTheme="minorHAnsi" w:hAnsiTheme="minorHAnsi"/>
              </w:rPr>
              <w:t>and</w:t>
            </w:r>
            <w:r w:rsidR="00BE74B0">
              <w:rPr>
                <w:rFonts w:asciiTheme="minorHAnsi" w:hAnsiTheme="minorHAnsi"/>
              </w:rPr>
              <w:t xml:space="preserve"> Managers </w:t>
            </w:r>
            <w:r w:rsidRPr="006E5E7E">
              <w:rPr>
                <w:rFonts w:asciiTheme="minorHAnsi" w:hAnsiTheme="minorHAnsi"/>
              </w:rPr>
              <w:t xml:space="preserve">to ensure that the </w:t>
            </w:r>
            <w:r w:rsidR="006E6D15">
              <w:rPr>
                <w:rFonts w:asciiTheme="minorHAnsi" w:hAnsiTheme="minorHAnsi"/>
              </w:rPr>
              <w:t xml:space="preserve">regional </w:t>
            </w:r>
            <w:r w:rsidR="00BE74B0">
              <w:rPr>
                <w:rFonts w:asciiTheme="minorHAnsi" w:hAnsiTheme="minorHAnsi"/>
              </w:rPr>
              <w:t>clinical services and capability library</w:t>
            </w:r>
            <w:r w:rsidR="00BE74B0" w:rsidRPr="006E5E7E">
              <w:rPr>
                <w:rFonts w:asciiTheme="minorHAnsi" w:hAnsiTheme="minorHAnsi"/>
              </w:rPr>
              <w:t xml:space="preserve"> </w:t>
            </w:r>
            <w:r w:rsidR="00BE74B0">
              <w:rPr>
                <w:rFonts w:asciiTheme="minorHAnsi" w:hAnsiTheme="minorHAnsi"/>
              </w:rPr>
              <w:t>is</w:t>
            </w:r>
            <w:r w:rsidRPr="006E5E7E">
              <w:rPr>
                <w:rFonts w:asciiTheme="minorHAnsi" w:hAnsiTheme="minorHAnsi"/>
              </w:rPr>
              <w:t xml:space="preserve"> delivered in a timely fashion and of high quality</w:t>
            </w:r>
            <w:r w:rsidR="001F72A7">
              <w:rPr>
                <w:rFonts w:asciiTheme="minorHAnsi" w:hAnsiTheme="minorHAnsi"/>
              </w:rPr>
              <w:t>.</w:t>
            </w:r>
          </w:p>
          <w:p w14:paraId="3185DB12" w14:textId="6F797413" w:rsidR="00AF5F1A" w:rsidRPr="006E5E7E" w:rsidRDefault="00AF5F1A" w:rsidP="006E5E7E">
            <w:pPr>
              <w:pStyle w:val="NoSpacing"/>
              <w:numPr>
                <w:ilvl w:val="0"/>
                <w:numId w:val="16"/>
              </w:numPr>
              <w:ind w:right="4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 identify risk and act accordingly</w:t>
            </w:r>
            <w:r w:rsidR="002B4D73">
              <w:rPr>
                <w:rFonts w:asciiTheme="minorHAnsi" w:hAnsiTheme="minorHAnsi"/>
              </w:rPr>
              <w:t>.</w:t>
            </w:r>
          </w:p>
          <w:p w14:paraId="2D224215" w14:textId="02B4DC70" w:rsidR="006E5E7E" w:rsidRDefault="006E5E7E" w:rsidP="006E5E7E">
            <w:pPr>
              <w:pStyle w:val="NoSpacing"/>
              <w:numPr>
                <w:ilvl w:val="0"/>
                <w:numId w:val="16"/>
              </w:numPr>
              <w:ind w:right="40"/>
              <w:jc w:val="left"/>
              <w:rPr>
                <w:rFonts w:asciiTheme="minorHAnsi" w:hAnsiTheme="minorHAnsi"/>
              </w:rPr>
            </w:pPr>
            <w:r w:rsidRPr="006E5E7E">
              <w:rPr>
                <w:rFonts w:asciiTheme="minorHAnsi" w:hAnsiTheme="minorHAnsi"/>
              </w:rPr>
              <w:t xml:space="preserve">To actively promote collaboration and integration between </w:t>
            </w:r>
            <w:r w:rsidR="006E6D15" w:rsidRPr="006E5E7E">
              <w:rPr>
                <w:rFonts w:asciiTheme="minorHAnsi" w:hAnsiTheme="minorHAnsi"/>
              </w:rPr>
              <w:t>D</w:t>
            </w:r>
            <w:r w:rsidR="006E6D15">
              <w:rPr>
                <w:rFonts w:asciiTheme="minorHAnsi" w:hAnsiTheme="minorHAnsi"/>
              </w:rPr>
              <w:t>istricts</w:t>
            </w:r>
            <w:r w:rsidRPr="006E5E7E">
              <w:rPr>
                <w:rFonts w:asciiTheme="minorHAnsi" w:hAnsiTheme="minorHAnsi"/>
              </w:rPr>
              <w:t xml:space="preserve">, </w:t>
            </w:r>
            <w:r w:rsidR="00BE744D">
              <w:rPr>
                <w:rFonts w:asciiTheme="minorHAnsi" w:hAnsiTheme="minorHAnsi"/>
              </w:rPr>
              <w:t xml:space="preserve">other regions within Te Whatu Ora, </w:t>
            </w:r>
            <w:r w:rsidRPr="006E5E7E">
              <w:rPr>
                <w:rFonts w:asciiTheme="minorHAnsi" w:hAnsiTheme="minorHAnsi"/>
              </w:rPr>
              <w:t xml:space="preserve">Ministry of Health and other agencies to achieve the goals </w:t>
            </w:r>
            <w:r w:rsidR="005C1C19">
              <w:rPr>
                <w:rFonts w:asciiTheme="minorHAnsi" w:hAnsiTheme="minorHAnsi"/>
              </w:rPr>
              <w:t xml:space="preserve">of the </w:t>
            </w:r>
            <w:proofErr w:type="spellStart"/>
            <w:r w:rsidR="005C1C19">
              <w:rPr>
                <w:rFonts w:asciiTheme="minorHAnsi" w:hAnsiTheme="minorHAnsi"/>
              </w:rPr>
              <w:t>programme</w:t>
            </w:r>
            <w:proofErr w:type="spellEnd"/>
            <w:r w:rsidR="002B4D73">
              <w:rPr>
                <w:rFonts w:asciiTheme="minorHAnsi" w:hAnsiTheme="minorHAnsi"/>
              </w:rPr>
              <w:t>.</w:t>
            </w:r>
          </w:p>
          <w:p w14:paraId="164DE5FD" w14:textId="5AC5EFCD" w:rsidR="006E5E7E" w:rsidRPr="006E5E7E" w:rsidRDefault="006E5E7E" w:rsidP="006E5E7E">
            <w:pPr>
              <w:pStyle w:val="NoSpacing"/>
              <w:numPr>
                <w:ilvl w:val="0"/>
                <w:numId w:val="16"/>
              </w:numPr>
              <w:ind w:right="40"/>
              <w:jc w:val="left"/>
              <w:rPr>
                <w:rFonts w:asciiTheme="minorHAnsi" w:hAnsiTheme="minorHAnsi"/>
              </w:rPr>
            </w:pPr>
            <w:r w:rsidRPr="006E5E7E">
              <w:rPr>
                <w:rFonts w:asciiTheme="minorHAnsi" w:hAnsiTheme="minorHAnsi"/>
              </w:rPr>
              <w:t xml:space="preserve">Contribute to the reputation of the </w:t>
            </w:r>
            <w:r w:rsidR="00BE74B0">
              <w:rPr>
                <w:rFonts w:asciiTheme="minorHAnsi" w:hAnsiTheme="minorHAnsi"/>
              </w:rPr>
              <w:t>Te Waipounamu</w:t>
            </w:r>
            <w:r w:rsidRPr="006E5E7E">
              <w:rPr>
                <w:rFonts w:asciiTheme="minorHAnsi" w:hAnsiTheme="minorHAnsi"/>
              </w:rPr>
              <w:t xml:space="preserve"> </w:t>
            </w:r>
            <w:r w:rsidR="00BE74B0">
              <w:rPr>
                <w:rFonts w:asciiTheme="minorHAnsi" w:hAnsiTheme="minorHAnsi"/>
              </w:rPr>
              <w:t xml:space="preserve">HSS </w:t>
            </w:r>
            <w:r w:rsidRPr="006E5E7E">
              <w:rPr>
                <w:rFonts w:asciiTheme="minorHAnsi" w:hAnsiTheme="minorHAnsi"/>
              </w:rPr>
              <w:t xml:space="preserve">Programme Office as a credible and professional </w:t>
            </w:r>
            <w:proofErr w:type="spellStart"/>
            <w:r w:rsidRPr="006E5E7E">
              <w:rPr>
                <w:rFonts w:asciiTheme="minorHAnsi" w:hAnsiTheme="minorHAnsi"/>
              </w:rPr>
              <w:t>organisation</w:t>
            </w:r>
            <w:proofErr w:type="spellEnd"/>
            <w:r w:rsidRPr="006E5E7E">
              <w:rPr>
                <w:rFonts w:asciiTheme="minorHAnsi" w:hAnsiTheme="minorHAnsi"/>
              </w:rPr>
              <w:t xml:space="preserve"> providing support to </w:t>
            </w:r>
            <w:r w:rsidR="00270896">
              <w:rPr>
                <w:rFonts w:asciiTheme="minorHAnsi" w:hAnsiTheme="minorHAnsi"/>
              </w:rPr>
              <w:t>Te Waipounamu Te What Ora.</w:t>
            </w:r>
          </w:p>
        </w:tc>
      </w:tr>
      <w:tr w:rsidR="00607369" w:rsidRPr="00E378CA" w14:paraId="16A4C083" w14:textId="77777777" w:rsidTr="00A94759">
        <w:trPr>
          <w:trHeight w:val="3486"/>
        </w:trPr>
        <w:tc>
          <w:tcPr>
            <w:tcW w:w="1098" w:type="pct"/>
          </w:tcPr>
          <w:p w14:paraId="3B112E11" w14:textId="226C9A0C" w:rsidR="00607369" w:rsidRPr="006E5E7E" w:rsidRDefault="00607369" w:rsidP="00A94759">
            <w:pPr>
              <w:pStyle w:val="NoSpacing"/>
              <w:spacing w:before="40" w:after="40"/>
              <w:ind w:left="40" w:right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Key Capabilities</w:t>
            </w:r>
          </w:p>
        </w:tc>
        <w:tc>
          <w:tcPr>
            <w:tcW w:w="3902" w:type="pct"/>
            <w:gridSpan w:val="2"/>
          </w:tcPr>
          <w:p w14:paraId="03853D3C" w14:textId="2166F05F" w:rsidR="00607369" w:rsidRPr="00C8158B" w:rsidRDefault="00607369" w:rsidP="00607369">
            <w:pPr>
              <w:pStyle w:val="NoSpacing"/>
              <w:numPr>
                <w:ilvl w:val="0"/>
                <w:numId w:val="16"/>
              </w:numPr>
              <w:ind w:left="325" w:right="40" w:hanging="284"/>
              <w:jc w:val="left"/>
              <w:rPr>
                <w:lang w:val="en-GB"/>
              </w:rPr>
            </w:pPr>
            <w:r w:rsidRPr="00D4374E">
              <w:t xml:space="preserve">An </w:t>
            </w:r>
            <w:r w:rsidRPr="00C8158B">
              <w:rPr>
                <w:lang w:val="en-GB"/>
              </w:rPr>
              <w:t>understanding and commitment to the Treaty of Waitangi and its impact</w:t>
            </w:r>
            <w:r>
              <w:rPr>
                <w:lang w:val="en-GB"/>
              </w:rPr>
              <w:t xml:space="preserve"> on health planning and funding</w:t>
            </w:r>
            <w:r w:rsidR="002B4D73">
              <w:rPr>
                <w:lang w:val="en-GB"/>
              </w:rPr>
              <w:t>.</w:t>
            </w:r>
          </w:p>
          <w:p w14:paraId="298ACB37" w14:textId="3C58EBD9" w:rsidR="00607369" w:rsidRDefault="00607369" w:rsidP="00607369">
            <w:pPr>
              <w:pStyle w:val="NoSpacing"/>
              <w:numPr>
                <w:ilvl w:val="0"/>
                <w:numId w:val="16"/>
              </w:numPr>
              <w:ind w:left="325" w:right="40" w:hanging="284"/>
              <w:jc w:val="left"/>
              <w:rPr>
                <w:lang w:val="en-GB"/>
              </w:rPr>
            </w:pPr>
            <w:r w:rsidRPr="00C8158B">
              <w:rPr>
                <w:lang w:val="en-GB"/>
              </w:rPr>
              <w:t xml:space="preserve">Demonstrated </w:t>
            </w:r>
            <w:r>
              <w:rPr>
                <w:lang w:val="en-GB"/>
              </w:rPr>
              <w:t xml:space="preserve">extensive </w:t>
            </w:r>
            <w:r w:rsidRPr="00C8158B">
              <w:rPr>
                <w:lang w:val="en-GB"/>
              </w:rPr>
              <w:t>knowledge o</w:t>
            </w:r>
            <w:r>
              <w:rPr>
                <w:lang w:val="en-GB"/>
              </w:rPr>
              <w:t>f the New Zealand health sector</w:t>
            </w:r>
            <w:r w:rsidR="00BE744D">
              <w:rPr>
                <w:lang w:val="en-GB"/>
              </w:rPr>
              <w:t>.</w:t>
            </w:r>
          </w:p>
          <w:p w14:paraId="4C1577B6" w14:textId="1E0B8E25" w:rsidR="00CA7AB5" w:rsidRPr="00C8158B" w:rsidRDefault="00CA7AB5" w:rsidP="00607369">
            <w:pPr>
              <w:pStyle w:val="NoSpacing"/>
              <w:numPr>
                <w:ilvl w:val="0"/>
                <w:numId w:val="16"/>
              </w:numPr>
              <w:ind w:left="325" w:right="40" w:hanging="284"/>
              <w:jc w:val="left"/>
              <w:rPr>
                <w:lang w:val="en-GB"/>
              </w:rPr>
            </w:pPr>
            <w:r>
              <w:rPr>
                <w:lang w:val="en-GB"/>
              </w:rPr>
              <w:t>Demonstrate knowledge of activity within other sectors that relate to improving health outcomes</w:t>
            </w:r>
            <w:r w:rsidR="00BE744D">
              <w:rPr>
                <w:lang w:val="en-GB"/>
              </w:rPr>
              <w:t>.</w:t>
            </w:r>
          </w:p>
          <w:p w14:paraId="4CA2BB18" w14:textId="77777777" w:rsidR="00607369" w:rsidRDefault="00607369" w:rsidP="00607369">
            <w:pPr>
              <w:pStyle w:val="NoSpacing"/>
              <w:numPr>
                <w:ilvl w:val="0"/>
                <w:numId w:val="16"/>
              </w:numPr>
              <w:ind w:left="325" w:right="40" w:hanging="284"/>
              <w:jc w:val="left"/>
              <w:rPr>
                <w:lang w:val="en-GB"/>
              </w:rPr>
            </w:pPr>
            <w:r w:rsidRPr="00913CC5">
              <w:rPr>
                <w:lang w:val="en-GB"/>
              </w:rPr>
              <w:t>Project management experience, with an emphasis on clinical projects or health service development projects</w:t>
            </w:r>
            <w:r>
              <w:rPr>
                <w:lang w:val="en-GB"/>
              </w:rPr>
              <w:t>.</w:t>
            </w:r>
          </w:p>
          <w:p w14:paraId="39313636" w14:textId="781FB797" w:rsidR="00607369" w:rsidRPr="002B4D73" w:rsidRDefault="00607369" w:rsidP="002B4D73">
            <w:pPr>
              <w:pStyle w:val="NoSpacing"/>
              <w:numPr>
                <w:ilvl w:val="0"/>
                <w:numId w:val="16"/>
              </w:numPr>
              <w:ind w:left="325" w:right="40" w:hanging="284"/>
              <w:jc w:val="left"/>
              <w:rPr>
                <w:lang w:val="en-GB"/>
              </w:rPr>
            </w:pPr>
            <w:r w:rsidRPr="00913CC5">
              <w:rPr>
                <w:lang w:val="en-GB"/>
              </w:rPr>
              <w:t>The ability to identify health issues and propose development opportunities.</w:t>
            </w:r>
          </w:p>
          <w:p w14:paraId="2FF992AE" w14:textId="77777777" w:rsidR="00607369" w:rsidRDefault="00607369" w:rsidP="00607369">
            <w:pPr>
              <w:pStyle w:val="NoSpacing"/>
              <w:numPr>
                <w:ilvl w:val="0"/>
                <w:numId w:val="16"/>
              </w:numPr>
              <w:ind w:left="325" w:right="40" w:hanging="284"/>
              <w:jc w:val="left"/>
              <w:rPr>
                <w:lang w:val="en-GB"/>
              </w:rPr>
            </w:pPr>
            <w:r w:rsidRPr="00C8158B">
              <w:rPr>
                <w:lang w:val="en-GB"/>
              </w:rPr>
              <w:t>Excellent inter-personal relationship and teamwork skills, supported by excellent communication and organisational skills.</w:t>
            </w:r>
          </w:p>
          <w:p w14:paraId="147CE79E" w14:textId="77777777" w:rsidR="00607369" w:rsidRPr="00C8158B" w:rsidRDefault="00607369" w:rsidP="00607369">
            <w:pPr>
              <w:pStyle w:val="NoSpacing"/>
              <w:numPr>
                <w:ilvl w:val="0"/>
                <w:numId w:val="16"/>
              </w:numPr>
              <w:ind w:left="325" w:right="40" w:hanging="284"/>
              <w:jc w:val="left"/>
              <w:rPr>
                <w:lang w:val="en-GB"/>
              </w:rPr>
            </w:pPr>
            <w:r>
              <w:rPr>
                <w:lang w:val="en-GB"/>
              </w:rPr>
              <w:t>Demonstrated excellence in outcomes focussed reporting.</w:t>
            </w:r>
          </w:p>
          <w:p w14:paraId="1D21040A" w14:textId="16CE5A0A" w:rsidR="00607369" w:rsidRPr="006E5E7E" w:rsidRDefault="00607369" w:rsidP="00607369">
            <w:pPr>
              <w:pStyle w:val="NoSpacing"/>
              <w:numPr>
                <w:ilvl w:val="0"/>
                <w:numId w:val="16"/>
              </w:numPr>
              <w:ind w:right="40"/>
              <w:jc w:val="left"/>
              <w:rPr>
                <w:rFonts w:asciiTheme="minorHAnsi" w:hAnsiTheme="minorHAnsi"/>
              </w:rPr>
            </w:pPr>
            <w:r w:rsidRPr="00C8158B">
              <w:rPr>
                <w:lang w:val="en-GB"/>
              </w:rPr>
              <w:t>An understanding of the application of epidemiology and biostatistics principles to health service planning is desirable.</w:t>
            </w:r>
          </w:p>
        </w:tc>
      </w:tr>
      <w:tr w:rsidR="006E5E7E" w:rsidRPr="00E378CA" w14:paraId="73FD42DC" w14:textId="77777777" w:rsidTr="00CD5247">
        <w:trPr>
          <w:trHeight w:val="2550"/>
        </w:trPr>
        <w:tc>
          <w:tcPr>
            <w:tcW w:w="1098" w:type="pct"/>
          </w:tcPr>
          <w:p w14:paraId="633F7885" w14:textId="77777777" w:rsidR="006E5E7E" w:rsidRPr="006E5E7E" w:rsidRDefault="006E5E7E" w:rsidP="00A94759">
            <w:pPr>
              <w:pStyle w:val="NoSpacing"/>
              <w:spacing w:before="40" w:after="40"/>
              <w:ind w:left="40" w:right="40"/>
              <w:rPr>
                <w:rFonts w:asciiTheme="minorHAnsi" w:hAnsiTheme="minorHAnsi"/>
                <w:b/>
              </w:rPr>
            </w:pPr>
            <w:r w:rsidRPr="006E5E7E">
              <w:rPr>
                <w:rFonts w:asciiTheme="minorHAnsi" w:hAnsiTheme="minorHAnsi"/>
                <w:b/>
              </w:rPr>
              <w:t>Key Relationships</w:t>
            </w:r>
          </w:p>
          <w:p w14:paraId="14FF663A" w14:textId="77777777" w:rsidR="006E5E7E" w:rsidRPr="006E5E7E" w:rsidRDefault="006E5E7E" w:rsidP="00A94759">
            <w:pPr>
              <w:rPr>
                <w:rFonts w:asciiTheme="minorHAnsi" w:hAnsiTheme="minorHAnsi"/>
                <w:b/>
              </w:rPr>
            </w:pPr>
          </w:p>
          <w:p w14:paraId="250185BB" w14:textId="77777777" w:rsidR="006E5E7E" w:rsidRPr="006E5E7E" w:rsidRDefault="006E5E7E" w:rsidP="00A94759">
            <w:pPr>
              <w:rPr>
                <w:rFonts w:asciiTheme="minorHAnsi" w:hAnsiTheme="minorHAnsi"/>
                <w:b/>
              </w:rPr>
            </w:pPr>
          </w:p>
          <w:p w14:paraId="4674156C" w14:textId="77777777" w:rsidR="006E5E7E" w:rsidRPr="006E5E7E" w:rsidRDefault="006E5E7E" w:rsidP="00A94759">
            <w:pPr>
              <w:rPr>
                <w:rFonts w:asciiTheme="minorHAnsi" w:hAnsiTheme="minorHAnsi"/>
                <w:b/>
              </w:rPr>
            </w:pPr>
          </w:p>
          <w:p w14:paraId="1D87FF55" w14:textId="77777777" w:rsidR="006E5E7E" w:rsidRPr="006E5E7E" w:rsidRDefault="006E5E7E" w:rsidP="00CD524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009" w:type="pct"/>
          </w:tcPr>
          <w:p w14:paraId="055B1D40" w14:textId="77777777" w:rsidR="006E5E7E" w:rsidRPr="006E5E7E" w:rsidRDefault="006E5E7E" w:rsidP="00A94759">
            <w:pPr>
              <w:pStyle w:val="NoSpacing"/>
              <w:ind w:left="40" w:right="40"/>
              <w:rPr>
                <w:rFonts w:asciiTheme="minorHAnsi" w:hAnsiTheme="minorHAnsi"/>
                <w:b/>
              </w:rPr>
            </w:pPr>
            <w:r w:rsidRPr="006E5E7E">
              <w:rPr>
                <w:rFonts w:asciiTheme="minorHAnsi" w:hAnsiTheme="minorHAnsi"/>
                <w:b/>
              </w:rPr>
              <w:t>Internal:</w:t>
            </w:r>
          </w:p>
          <w:p w14:paraId="137DCAAA" w14:textId="224D96DA" w:rsidR="006E5E7E" w:rsidRPr="006E5E7E" w:rsidRDefault="002B4D73" w:rsidP="006E5E7E">
            <w:pPr>
              <w:pStyle w:val="NoSpacing"/>
              <w:numPr>
                <w:ilvl w:val="0"/>
                <w:numId w:val="16"/>
              </w:numPr>
              <w:ind w:left="325" w:right="40" w:hanging="284"/>
              <w:jc w:val="left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</w:rPr>
              <w:t>District General Managers</w:t>
            </w:r>
          </w:p>
          <w:p w14:paraId="5BD487E4" w14:textId="04756CD9" w:rsidR="006E5E7E" w:rsidRDefault="00270896" w:rsidP="006E5E7E">
            <w:pPr>
              <w:pStyle w:val="NoSpacing"/>
              <w:numPr>
                <w:ilvl w:val="0"/>
                <w:numId w:val="16"/>
              </w:numPr>
              <w:ind w:left="325" w:right="40" w:hanging="284"/>
              <w:jc w:val="left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District Clinical Leads,</w:t>
            </w:r>
          </w:p>
          <w:p w14:paraId="73405310" w14:textId="51B40200" w:rsidR="00270896" w:rsidRDefault="00270896" w:rsidP="006E5E7E">
            <w:pPr>
              <w:pStyle w:val="NoSpacing"/>
              <w:numPr>
                <w:ilvl w:val="0"/>
                <w:numId w:val="16"/>
              </w:numPr>
              <w:ind w:left="325" w:right="40" w:hanging="284"/>
              <w:jc w:val="left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District GDO’s</w:t>
            </w:r>
          </w:p>
          <w:p w14:paraId="5BA27197" w14:textId="32761176" w:rsidR="002B4D73" w:rsidRDefault="002B4D73" w:rsidP="006E5E7E">
            <w:pPr>
              <w:pStyle w:val="NoSpacing"/>
              <w:numPr>
                <w:ilvl w:val="0"/>
                <w:numId w:val="16"/>
              </w:numPr>
              <w:ind w:left="325" w:right="40" w:hanging="284"/>
              <w:jc w:val="left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Te Waipounamu CMO</w:t>
            </w:r>
          </w:p>
          <w:p w14:paraId="7BD3BFED" w14:textId="27DD78A8" w:rsidR="000C2F1F" w:rsidRDefault="00270896" w:rsidP="006E5E7E">
            <w:pPr>
              <w:pStyle w:val="NoSpacing"/>
              <w:numPr>
                <w:ilvl w:val="0"/>
                <w:numId w:val="16"/>
              </w:numPr>
              <w:ind w:left="325" w:right="40" w:hanging="284"/>
              <w:jc w:val="left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Te Waipounamu DCE,</w:t>
            </w:r>
          </w:p>
          <w:p w14:paraId="13182732" w14:textId="543BFC9C" w:rsidR="00BE744D" w:rsidRDefault="00BE744D" w:rsidP="006E5E7E">
            <w:pPr>
              <w:pStyle w:val="NoSpacing"/>
              <w:numPr>
                <w:ilvl w:val="0"/>
                <w:numId w:val="16"/>
              </w:numPr>
              <w:ind w:left="325" w:right="40" w:hanging="284"/>
              <w:jc w:val="left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Te Waipounamu Commissioning,</w:t>
            </w:r>
          </w:p>
          <w:p w14:paraId="78933EDC" w14:textId="29A61E78" w:rsidR="006E5E7E" w:rsidRPr="006E5E7E" w:rsidRDefault="00270896" w:rsidP="00270896">
            <w:pPr>
              <w:pStyle w:val="NoSpacing"/>
              <w:numPr>
                <w:ilvl w:val="0"/>
                <w:numId w:val="16"/>
              </w:numPr>
              <w:ind w:left="325" w:right="40" w:hanging="284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GB"/>
              </w:rPr>
              <w:t>Te Whatu Ora Te Waipounamu enabling functions such as HR, Finance etc..</w:t>
            </w:r>
          </w:p>
        </w:tc>
        <w:tc>
          <w:tcPr>
            <w:tcW w:w="1893" w:type="pct"/>
          </w:tcPr>
          <w:p w14:paraId="43DF811F" w14:textId="77777777" w:rsidR="006E5E7E" w:rsidRPr="006E5E7E" w:rsidRDefault="006E5E7E" w:rsidP="00A94759">
            <w:pPr>
              <w:pStyle w:val="NoSpacing"/>
              <w:ind w:left="40" w:right="40"/>
              <w:rPr>
                <w:rFonts w:asciiTheme="minorHAnsi" w:hAnsiTheme="minorHAnsi"/>
                <w:b/>
              </w:rPr>
            </w:pPr>
            <w:r w:rsidRPr="006E5E7E">
              <w:rPr>
                <w:rFonts w:asciiTheme="minorHAnsi" w:hAnsiTheme="minorHAnsi"/>
                <w:b/>
              </w:rPr>
              <w:t>External:</w:t>
            </w:r>
          </w:p>
          <w:p w14:paraId="154F9F80" w14:textId="5D29DA3C" w:rsidR="006E5E7E" w:rsidRPr="00270896" w:rsidRDefault="00270896" w:rsidP="00270896">
            <w:pPr>
              <w:pStyle w:val="NoSpacing"/>
              <w:numPr>
                <w:ilvl w:val="0"/>
                <w:numId w:val="16"/>
              </w:numPr>
              <w:ind w:left="325" w:right="40" w:hanging="284"/>
              <w:jc w:val="left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National Te Whatu Ora business teams </w:t>
            </w:r>
            <w:r w:rsidR="006E5E7E" w:rsidRPr="006E5E7E">
              <w:rPr>
                <w:rFonts w:asciiTheme="minorHAnsi" w:hAnsiTheme="minorHAnsi"/>
                <w:lang w:val="en-GB"/>
              </w:rPr>
              <w:t>and other relevant units</w:t>
            </w:r>
          </w:p>
          <w:p w14:paraId="55FCDD87" w14:textId="0337225D" w:rsidR="006E5E7E" w:rsidRPr="00270896" w:rsidRDefault="006E5E7E" w:rsidP="00270896">
            <w:pPr>
              <w:pStyle w:val="NoSpacing"/>
              <w:numPr>
                <w:ilvl w:val="0"/>
                <w:numId w:val="16"/>
              </w:numPr>
              <w:ind w:left="325" w:right="40" w:hanging="284"/>
              <w:jc w:val="left"/>
              <w:rPr>
                <w:rFonts w:asciiTheme="minorHAnsi" w:hAnsiTheme="minorHAnsi"/>
              </w:rPr>
            </w:pPr>
            <w:r w:rsidRPr="006E5E7E">
              <w:rPr>
                <w:rFonts w:asciiTheme="minorHAnsi" w:hAnsiTheme="minorHAnsi"/>
              </w:rPr>
              <w:t xml:space="preserve">Other </w:t>
            </w:r>
            <w:r w:rsidR="00270896">
              <w:rPr>
                <w:rFonts w:asciiTheme="minorHAnsi" w:hAnsiTheme="minorHAnsi"/>
              </w:rPr>
              <w:t>Te Whatu Ora</w:t>
            </w:r>
            <w:r w:rsidR="00270896" w:rsidRPr="006E5E7E">
              <w:rPr>
                <w:rFonts w:asciiTheme="minorHAnsi" w:hAnsiTheme="minorHAnsi"/>
              </w:rPr>
              <w:t xml:space="preserve"> </w:t>
            </w:r>
            <w:r w:rsidRPr="006E5E7E">
              <w:rPr>
                <w:rFonts w:asciiTheme="minorHAnsi" w:hAnsiTheme="minorHAnsi"/>
              </w:rPr>
              <w:t>Region</w:t>
            </w:r>
            <w:r w:rsidR="00270896">
              <w:rPr>
                <w:rFonts w:asciiTheme="minorHAnsi" w:hAnsiTheme="minorHAnsi"/>
              </w:rPr>
              <w:t xml:space="preserve">al </w:t>
            </w:r>
            <w:proofErr w:type="spellStart"/>
            <w:r w:rsidR="00270896">
              <w:rPr>
                <w:rFonts w:asciiTheme="minorHAnsi" w:hAnsiTheme="minorHAnsi"/>
              </w:rPr>
              <w:t>programme</w:t>
            </w:r>
            <w:proofErr w:type="spellEnd"/>
            <w:r w:rsidR="00270896">
              <w:rPr>
                <w:rFonts w:asciiTheme="minorHAnsi" w:hAnsiTheme="minorHAnsi"/>
              </w:rPr>
              <w:t xml:space="preserve"> leads.</w:t>
            </w:r>
          </w:p>
          <w:p w14:paraId="60CB5809" w14:textId="4AE60E98" w:rsidR="00F17F3D" w:rsidRPr="006E5E7E" w:rsidRDefault="00F17F3D" w:rsidP="002B4D73">
            <w:pPr>
              <w:pStyle w:val="NoSpacing"/>
              <w:ind w:right="4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-1350"/>
        <w:tblW w:w="9464" w:type="dxa"/>
        <w:tblLayout w:type="fixed"/>
        <w:tblLook w:val="0000" w:firstRow="0" w:lastRow="0" w:firstColumn="0" w:lastColumn="0" w:noHBand="0" w:noVBand="0"/>
      </w:tblPr>
      <w:tblGrid>
        <w:gridCol w:w="1242"/>
        <w:gridCol w:w="8222"/>
      </w:tblGrid>
      <w:tr w:rsidR="00FD7872" w:rsidRPr="0080017F" w14:paraId="3B16F786" w14:textId="77777777" w:rsidTr="00FD7872">
        <w:trPr>
          <w:cantSplit/>
        </w:trPr>
        <w:tc>
          <w:tcPr>
            <w:tcW w:w="9464" w:type="dxa"/>
            <w:gridSpan w:val="2"/>
          </w:tcPr>
          <w:p w14:paraId="4A1C4F31" w14:textId="77777777" w:rsidR="00FD7872" w:rsidRPr="00E566F8" w:rsidRDefault="00FD7872" w:rsidP="00FD7872">
            <w:pPr>
              <w:spacing w:before="120" w:after="120" w:line="240" w:lineRule="auto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  <w:tr w:rsidR="00FD7872" w:rsidRPr="003545F2" w14:paraId="79476215" w14:textId="77777777" w:rsidTr="00FD7872">
        <w:tc>
          <w:tcPr>
            <w:tcW w:w="9464" w:type="dxa"/>
            <w:gridSpan w:val="2"/>
          </w:tcPr>
          <w:p w14:paraId="7B2298A8" w14:textId="77777777" w:rsidR="00FD7872" w:rsidRPr="00165A01" w:rsidRDefault="00FD7872" w:rsidP="00FD7872">
            <w:pPr>
              <w:rPr>
                <w:sz w:val="22"/>
                <w:szCs w:val="22"/>
              </w:rPr>
            </w:pPr>
          </w:p>
        </w:tc>
      </w:tr>
      <w:tr w:rsidR="00FD7872" w:rsidRPr="0080017F" w14:paraId="1FE13705" w14:textId="77777777" w:rsidTr="00FD7872"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14:paraId="60D9D585" w14:textId="77777777" w:rsidR="00FD7872" w:rsidRPr="005D339B" w:rsidRDefault="00FD7872" w:rsidP="00FD7872">
            <w:pPr>
              <w:spacing w:after="0"/>
              <w:rPr>
                <w:sz w:val="22"/>
                <w:szCs w:val="22"/>
              </w:rPr>
            </w:pPr>
            <w:r w:rsidRPr="00B77E12">
              <w:rPr>
                <w:rStyle w:val="Heading3Char"/>
                <w:rFonts w:eastAsiaTheme="minorHAnsi"/>
                <w:b/>
                <w:sz w:val="22"/>
                <w:szCs w:val="22"/>
              </w:rPr>
              <w:t>KEY PERFORMANCE OBJECTIVES:</w:t>
            </w:r>
          </w:p>
        </w:tc>
      </w:tr>
      <w:tr w:rsidR="00FD7872" w:rsidRPr="0080017F" w14:paraId="0BD83EE6" w14:textId="77777777" w:rsidTr="00FD78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7D48" w14:textId="77777777" w:rsidR="00FD7872" w:rsidRPr="00F31BDA" w:rsidRDefault="00FD7872" w:rsidP="00FD7872">
            <w:pPr>
              <w:pStyle w:val="Heading3"/>
              <w:spacing w:before="60" w:after="60"/>
              <w:rPr>
                <w:b/>
              </w:rPr>
            </w:pPr>
            <w:r w:rsidRPr="00F31BDA">
              <w:rPr>
                <w:b/>
              </w:rPr>
              <w:t>Task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EB0D" w14:textId="2DE7F330" w:rsidR="00FD7872" w:rsidRPr="00F31BDA" w:rsidRDefault="002B4D73" w:rsidP="00FD7872">
            <w:pPr>
              <w:pStyle w:val="BodyText2"/>
              <w:spacing w:before="60" w:after="60"/>
              <w:rPr>
                <w:rFonts w:ascii="Calibri" w:hAnsi="Calibri"/>
                <w:b w:val="0"/>
                <w:szCs w:val="22"/>
              </w:rPr>
            </w:pPr>
            <w:r>
              <w:rPr>
                <w:rFonts w:ascii="Calibri" w:hAnsi="Calibri"/>
                <w:szCs w:val="22"/>
              </w:rPr>
              <w:t>D</w:t>
            </w:r>
            <w:r w:rsidR="001F72A7">
              <w:rPr>
                <w:rFonts w:ascii="Calibri" w:hAnsi="Calibri"/>
                <w:szCs w:val="22"/>
              </w:rPr>
              <w:t>eliver</w:t>
            </w:r>
            <w:r w:rsidR="00FD7872" w:rsidRPr="00F31BDA">
              <w:rPr>
                <w:rFonts w:ascii="Calibri" w:hAnsi="Calibri"/>
                <w:szCs w:val="22"/>
              </w:rPr>
              <w:t xml:space="preserve"> </w:t>
            </w:r>
            <w:r>
              <w:rPr>
                <w:rFonts w:asciiTheme="minorHAnsi" w:hAnsiTheme="minorHAnsi"/>
                <w:szCs w:val="22"/>
              </w:rPr>
              <w:t>Te Waipounamu clinical services and capability library</w:t>
            </w:r>
          </w:p>
        </w:tc>
      </w:tr>
      <w:tr w:rsidR="00FD7872" w:rsidRPr="0080017F" w14:paraId="227EED98" w14:textId="77777777" w:rsidTr="00FD78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A39F" w14:textId="77777777" w:rsidR="00FD7872" w:rsidRPr="00F31BDA" w:rsidRDefault="00FD7872" w:rsidP="00FD7872">
            <w:pPr>
              <w:pStyle w:val="Heading3"/>
              <w:spacing w:before="60" w:after="60"/>
              <w:rPr>
                <w:b/>
              </w:rPr>
            </w:pPr>
            <w:r w:rsidRPr="00F31BDA">
              <w:rPr>
                <w:b/>
              </w:rPr>
              <w:t>Measures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C8BB" w14:textId="1E8E93C6" w:rsidR="00FD7872" w:rsidRPr="00F31BDA" w:rsidRDefault="00FD7872" w:rsidP="00FD7872">
            <w:pPr>
              <w:numPr>
                <w:ilvl w:val="0"/>
                <w:numId w:val="2"/>
              </w:numPr>
              <w:spacing w:before="60" w:after="60" w:line="240" w:lineRule="auto"/>
              <w:ind w:left="318" w:hanging="284"/>
              <w:rPr>
                <w:sz w:val="22"/>
                <w:szCs w:val="22"/>
              </w:rPr>
            </w:pPr>
            <w:r w:rsidRPr="00F31BDA">
              <w:rPr>
                <w:sz w:val="22"/>
                <w:szCs w:val="22"/>
              </w:rPr>
              <w:t>Ensure</w:t>
            </w:r>
            <w:r w:rsidR="002B4D73">
              <w:rPr>
                <w:sz w:val="22"/>
                <w:szCs w:val="22"/>
              </w:rPr>
              <w:t xml:space="preserve"> the framework for services is</w:t>
            </w:r>
            <w:r w:rsidRPr="00F31BDA">
              <w:rPr>
                <w:sz w:val="22"/>
                <w:szCs w:val="22"/>
              </w:rPr>
              <w:t xml:space="preserve"> adequately scoped </w:t>
            </w:r>
            <w:r w:rsidR="002B4D73">
              <w:rPr>
                <w:sz w:val="22"/>
                <w:szCs w:val="22"/>
              </w:rPr>
              <w:t>prior</w:t>
            </w:r>
            <w:r w:rsidRPr="00F31BDA">
              <w:rPr>
                <w:sz w:val="22"/>
                <w:szCs w:val="22"/>
              </w:rPr>
              <w:t xml:space="preserve"> to commencement</w:t>
            </w:r>
            <w:r w:rsidR="00BE744D">
              <w:rPr>
                <w:sz w:val="22"/>
                <w:szCs w:val="22"/>
              </w:rPr>
              <w:t>.</w:t>
            </w:r>
          </w:p>
          <w:p w14:paraId="6E0769BA" w14:textId="479AB26B" w:rsidR="00FD7872" w:rsidRPr="00F31BDA" w:rsidRDefault="00FD7872" w:rsidP="00FD7872">
            <w:pPr>
              <w:numPr>
                <w:ilvl w:val="0"/>
                <w:numId w:val="2"/>
              </w:numPr>
              <w:spacing w:before="60" w:after="60" w:line="240" w:lineRule="auto"/>
              <w:ind w:left="318" w:hanging="284"/>
              <w:rPr>
                <w:sz w:val="22"/>
                <w:szCs w:val="22"/>
              </w:rPr>
            </w:pPr>
            <w:r w:rsidRPr="00F31BDA">
              <w:rPr>
                <w:sz w:val="22"/>
                <w:szCs w:val="22"/>
              </w:rPr>
              <w:t>Ensure agreed deliverables and outputs are achieved and are of high quality</w:t>
            </w:r>
            <w:r w:rsidR="00BE744D">
              <w:rPr>
                <w:sz w:val="22"/>
                <w:szCs w:val="22"/>
              </w:rPr>
              <w:t>.</w:t>
            </w:r>
          </w:p>
          <w:p w14:paraId="6F2B11B9" w14:textId="6CE56890" w:rsidR="00734929" w:rsidRPr="00F31BDA" w:rsidRDefault="00734929" w:rsidP="00FD7872">
            <w:pPr>
              <w:numPr>
                <w:ilvl w:val="0"/>
                <w:numId w:val="2"/>
              </w:numPr>
              <w:spacing w:before="60" w:after="60" w:line="240" w:lineRule="auto"/>
              <w:ind w:left="318" w:hanging="284"/>
              <w:rPr>
                <w:sz w:val="22"/>
                <w:szCs w:val="22"/>
              </w:rPr>
            </w:pPr>
            <w:r w:rsidRPr="00F31BDA">
              <w:rPr>
                <w:sz w:val="22"/>
                <w:szCs w:val="22"/>
              </w:rPr>
              <w:t xml:space="preserve">Work alongside </w:t>
            </w:r>
            <w:r w:rsidR="001F72A7">
              <w:rPr>
                <w:sz w:val="22"/>
                <w:szCs w:val="22"/>
              </w:rPr>
              <w:t xml:space="preserve">Clinical </w:t>
            </w:r>
            <w:r w:rsidR="002B4D73">
              <w:rPr>
                <w:sz w:val="22"/>
                <w:szCs w:val="22"/>
              </w:rPr>
              <w:t xml:space="preserve">and Management </w:t>
            </w:r>
            <w:r w:rsidR="001F72A7">
              <w:rPr>
                <w:sz w:val="22"/>
                <w:szCs w:val="22"/>
              </w:rPr>
              <w:t xml:space="preserve">Leads </w:t>
            </w:r>
            <w:r w:rsidRPr="00F31BDA">
              <w:rPr>
                <w:sz w:val="22"/>
                <w:szCs w:val="22"/>
              </w:rPr>
              <w:t>to communicate work required towards the</w:t>
            </w:r>
            <w:r w:rsidR="001F72A7">
              <w:rPr>
                <w:sz w:val="22"/>
                <w:szCs w:val="22"/>
              </w:rPr>
              <w:t xml:space="preserve"> delivery </w:t>
            </w:r>
            <w:r w:rsidR="002B4D73">
              <w:rPr>
                <w:sz w:val="22"/>
                <w:szCs w:val="22"/>
              </w:rPr>
              <w:t>library</w:t>
            </w:r>
            <w:r w:rsidR="001F72A7">
              <w:rPr>
                <w:sz w:val="22"/>
                <w:szCs w:val="22"/>
              </w:rPr>
              <w:t>.</w:t>
            </w:r>
          </w:p>
          <w:p w14:paraId="3ADBEF7A" w14:textId="11A7E644" w:rsidR="00FD7872" w:rsidRPr="001F72A7" w:rsidRDefault="00FD7872" w:rsidP="00CD5247">
            <w:pPr>
              <w:numPr>
                <w:ilvl w:val="0"/>
                <w:numId w:val="2"/>
              </w:numPr>
              <w:spacing w:before="60" w:after="60" w:line="240" w:lineRule="auto"/>
              <w:ind w:left="318" w:hanging="284"/>
              <w:rPr>
                <w:rFonts w:ascii="Arial" w:hAnsi="Arial"/>
                <w:sz w:val="22"/>
                <w:szCs w:val="22"/>
              </w:rPr>
            </w:pPr>
            <w:r w:rsidRPr="00F31BDA">
              <w:rPr>
                <w:sz w:val="22"/>
                <w:szCs w:val="22"/>
              </w:rPr>
              <w:t>Effective communication and relationships with key stakeholders are developed and maintained.</w:t>
            </w:r>
            <w:r w:rsidRPr="00F31BDA" w:rsidDel="00A7684B">
              <w:rPr>
                <w:sz w:val="22"/>
                <w:szCs w:val="22"/>
              </w:rPr>
              <w:t xml:space="preserve"> </w:t>
            </w:r>
            <w:r w:rsidRPr="00F31BDA">
              <w:rPr>
                <w:sz w:val="22"/>
                <w:szCs w:val="22"/>
              </w:rPr>
              <w:t xml:space="preserve">Raise issues that may lead to project </w:t>
            </w:r>
            <w:r w:rsidR="001F72A7" w:rsidRPr="00F31BDA">
              <w:rPr>
                <w:sz w:val="22"/>
                <w:szCs w:val="22"/>
              </w:rPr>
              <w:t>timeline</w:t>
            </w:r>
            <w:r w:rsidRPr="00F31BDA">
              <w:rPr>
                <w:sz w:val="22"/>
                <w:szCs w:val="22"/>
              </w:rPr>
              <w:t xml:space="preserve"> and outcomes and / or service or financial risk.</w:t>
            </w:r>
          </w:p>
        </w:tc>
      </w:tr>
      <w:tr w:rsidR="00FD7872" w:rsidRPr="0080017F" w14:paraId="61DF68EB" w14:textId="77777777" w:rsidTr="00FD78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A4A0" w14:textId="77777777" w:rsidR="00FD7872" w:rsidRPr="00560A88" w:rsidRDefault="00FD7872" w:rsidP="00FD7872">
            <w:pPr>
              <w:pStyle w:val="Heading3"/>
              <w:spacing w:before="60" w:after="60"/>
              <w:rPr>
                <w:b/>
              </w:rPr>
            </w:pPr>
            <w:r w:rsidRPr="00560A88">
              <w:rPr>
                <w:b/>
              </w:rPr>
              <w:t>Task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881B" w14:textId="0DAE5696" w:rsidR="00FD7872" w:rsidRPr="000A1A4D" w:rsidRDefault="00D712D4" w:rsidP="00FD7872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GB"/>
              </w:rPr>
              <w:t>L</w:t>
            </w:r>
            <w:r w:rsidR="00FD7872" w:rsidRPr="000A1A4D">
              <w:rPr>
                <w:b/>
                <w:sz w:val="22"/>
                <w:szCs w:val="22"/>
                <w:lang w:val="en-GB"/>
              </w:rPr>
              <w:t xml:space="preserve">ead and manage projects </w:t>
            </w:r>
            <w:r w:rsidR="00FD7872">
              <w:rPr>
                <w:b/>
                <w:sz w:val="22"/>
                <w:szCs w:val="22"/>
                <w:lang w:val="en-GB"/>
              </w:rPr>
              <w:t xml:space="preserve">within the programme </w:t>
            </w:r>
            <w:r w:rsidR="002B4D73">
              <w:rPr>
                <w:b/>
                <w:sz w:val="22"/>
                <w:szCs w:val="22"/>
                <w:lang w:val="en-GB"/>
              </w:rPr>
              <w:t>of work.</w:t>
            </w:r>
          </w:p>
        </w:tc>
      </w:tr>
      <w:tr w:rsidR="00FD7872" w:rsidRPr="0080017F" w14:paraId="6D81A608" w14:textId="77777777" w:rsidTr="00FD78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FBE7" w14:textId="77777777" w:rsidR="00FD7872" w:rsidRPr="00560A88" w:rsidRDefault="00FD7872" w:rsidP="00FD7872">
            <w:pPr>
              <w:pStyle w:val="Heading3"/>
              <w:spacing w:before="60" w:after="60"/>
              <w:rPr>
                <w:b/>
              </w:rPr>
            </w:pPr>
            <w:r w:rsidRPr="00560A88">
              <w:rPr>
                <w:b/>
              </w:rPr>
              <w:t>Measures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A26A" w14:textId="4324E7BC" w:rsidR="00FD7872" w:rsidRPr="000A1A4D" w:rsidRDefault="00FD7872" w:rsidP="00FD7872">
            <w:pPr>
              <w:numPr>
                <w:ilvl w:val="0"/>
                <w:numId w:val="2"/>
              </w:numPr>
              <w:tabs>
                <w:tab w:val="num" w:pos="400"/>
              </w:tabs>
              <w:spacing w:before="60" w:after="60" w:line="240" w:lineRule="auto"/>
              <w:ind w:left="318" w:hanging="284"/>
              <w:rPr>
                <w:sz w:val="22"/>
                <w:szCs w:val="22"/>
                <w:lang w:val="en-GB"/>
              </w:rPr>
            </w:pPr>
            <w:r w:rsidRPr="000A1A4D">
              <w:rPr>
                <w:sz w:val="22"/>
                <w:szCs w:val="22"/>
                <w:lang w:val="en-GB"/>
              </w:rPr>
              <w:t>Projects are led utilising sound project</w:t>
            </w:r>
            <w:r>
              <w:rPr>
                <w:sz w:val="22"/>
                <w:szCs w:val="22"/>
                <w:lang w:val="en-GB"/>
              </w:rPr>
              <w:t>/programme</w:t>
            </w:r>
            <w:r w:rsidRPr="000A1A4D">
              <w:rPr>
                <w:sz w:val="22"/>
                <w:szCs w:val="22"/>
                <w:lang w:val="en-GB"/>
              </w:rPr>
              <w:t xml:space="preserve"> management skills</w:t>
            </w:r>
            <w:r>
              <w:rPr>
                <w:sz w:val="22"/>
                <w:szCs w:val="22"/>
                <w:lang w:val="en-GB"/>
              </w:rPr>
              <w:t xml:space="preserve"> and methodology</w:t>
            </w:r>
            <w:r w:rsidR="00BE744D">
              <w:rPr>
                <w:sz w:val="22"/>
                <w:szCs w:val="22"/>
                <w:lang w:val="en-GB"/>
              </w:rPr>
              <w:t>.</w:t>
            </w:r>
          </w:p>
          <w:p w14:paraId="2C8779A7" w14:textId="79DADD80" w:rsidR="00FD7872" w:rsidRPr="00F31DEA" w:rsidRDefault="00FD7872" w:rsidP="00FD7872">
            <w:pPr>
              <w:numPr>
                <w:ilvl w:val="0"/>
                <w:numId w:val="2"/>
              </w:numPr>
              <w:tabs>
                <w:tab w:val="num" w:pos="400"/>
              </w:tabs>
              <w:spacing w:before="60" w:after="60" w:line="240" w:lineRule="auto"/>
              <w:ind w:left="318" w:hanging="284"/>
              <w:rPr>
                <w:sz w:val="22"/>
                <w:szCs w:val="22"/>
                <w:lang w:val="en-GB"/>
              </w:rPr>
            </w:pPr>
            <w:r w:rsidRPr="000A1A4D">
              <w:rPr>
                <w:sz w:val="22"/>
                <w:szCs w:val="22"/>
                <w:lang w:val="en-GB"/>
              </w:rPr>
              <w:t xml:space="preserve">Terms of reference and project objectives for specific projects are developed in consultation with the </w:t>
            </w:r>
            <w:r w:rsidR="004959BA">
              <w:rPr>
                <w:sz w:val="22"/>
                <w:szCs w:val="22"/>
              </w:rPr>
              <w:t>Programme members</w:t>
            </w:r>
            <w:r w:rsidR="00BE744D">
              <w:rPr>
                <w:sz w:val="22"/>
                <w:szCs w:val="22"/>
              </w:rPr>
              <w:t>.</w:t>
            </w:r>
          </w:p>
          <w:p w14:paraId="0D115717" w14:textId="45B58B2C" w:rsidR="00F31DEA" w:rsidRDefault="00F31DEA" w:rsidP="00FD7872">
            <w:pPr>
              <w:numPr>
                <w:ilvl w:val="0"/>
                <w:numId w:val="2"/>
              </w:numPr>
              <w:tabs>
                <w:tab w:val="num" w:pos="400"/>
              </w:tabs>
              <w:spacing w:before="60" w:after="60" w:line="240" w:lineRule="auto"/>
              <w:ind w:left="318" w:hanging="284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 xml:space="preserve">Work alongside the </w:t>
            </w:r>
            <w:r w:rsidR="001F72A7">
              <w:rPr>
                <w:sz w:val="22"/>
                <w:szCs w:val="22"/>
              </w:rPr>
              <w:t xml:space="preserve">Clinical Leads </w:t>
            </w:r>
            <w:r>
              <w:rPr>
                <w:sz w:val="22"/>
                <w:szCs w:val="22"/>
              </w:rPr>
              <w:t>to manage the Workplan and direct members to areas of work they need to make contribution to</w:t>
            </w:r>
          </w:p>
          <w:p w14:paraId="6452B789" w14:textId="5C707F45" w:rsidR="00FD7872" w:rsidRDefault="00FD7872" w:rsidP="00FD7872">
            <w:pPr>
              <w:numPr>
                <w:ilvl w:val="0"/>
                <w:numId w:val="2"/>
              </w:numPr>
              <w:tabs>
                <w:tab w:val="num" w:pos="400"/>
              </w:tabs>
              <w:spacing w:before="60" w:after="60" w:line="240" w:lineRule="auto"/>
              <w:ind w:left="318" w:hanging="284"/>
              <w:rPr>
                <w:sz w:val="22"/>
                <w:szCs w:val="22"/>
                <w:lang w:val="en-GB"/>
              </w:rPr>
            </w:pPr>
            <w:r w:rsidRPr="000A1A4D">
              <w:rPr>
                <w:sz w:val="22"/>
                <w:szCs w:val="22"/>
                <w:lang w:val="en-GB"/>
              </w:rPr>
              <w:t>Key stakeholders for the project(s) are identified and effective communication (including consultation) and relatio</w:t>
            </w:r>
            <w:r w:rsidR="004959BA">
              <w:rPr>
                <w:sz w:val="22"/>
                <w:szCs w:val="22"/>
                <w:lang w:val="en-GB"/>
              </w:rPr>
              <w:t>nships developed and maintained</w:t>
            </w:r>
            <w:r w:rsidR="00BE744D">
              <w:rPr>
                <w:sz w:val="22"/>
                <w:szCs w:val="22"/>
                <w:lang w:val="en-GB"/>
              </w:rPr>
              <w:t>.</w:t>
            </w:r>
          </w:p>
          <w:p w14:paraId="3769F796" w14:textId="47963429" w:rsidR="00531171" w:rsidRPr="000A1A4D" w:rsidRDefault="00531171" w:rsidP="00FD7872">
            <w:pPr>
              <w:numPr>
                <w:ilvl w:val="0"/>
                <w:numId w:val="2"/>
              </w:numPr>
              <w:tabs>
                <w:tab w:val="num" w:pos="400"/>
              </w:tabs>
              <w:spacing w:before="60" w:after="60" w:line="240" w:lineRule="auto"/>
              <w:ind w:left="318" w:hanging="284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Manage the Workplan and its actions with subject matter expertise</w:t>
            </w:r>
            <w:r w:rsidR="00BE744D">
              <w:rPr>
                <w:sz w:val="22"/>
                <w:szCs w:val="22"/>
                <w:lang w:val="en-GB"/>
              </w:rPr>
              <w:t>.</w:t>
            </w:r>
          </w:p>
          <w:p w14:paraId="5457E1A1" w14:textId="26446CEC" w:rsidR="00FD7872" w:rsidRDefault="00FD7872" w:rsidP="00FD7872">
            <w:pPr>
              <w:numPr>
                <w:ilvl w:val="0"/>
                <w:numId w:val="2"/>
              </w:numPr>
              <w:tabs>
                <w:tab w:val="num" w:pos="400"/>
              </w:tabs>
              <w:spacing w:before="60" w:after="60" w:line="240" w:lineRule="auto"/>
              <w:ind w:left="318" w:hanging="284"/>
              <w:rPr>
                <w:sz w:val="22"/>
                <w:szCs w:val="22"/>
                <w:lang w:val="en-GB"/>
              </w:rPr>
            </w:pPr>
            <w:r w:rsidRPr="00F1090B">
              <w:rPr>
                <w:sz w:val="22"/>
                <w:szCs w:val="22"/>
                <w:lang w:val="en-GB"/>
              </w:rPr>
              <w:t>Agreed project management tools are used to develop project plans including timeframes, milestones, performance indicators, activities, resou</w:t>
            </w:r>
            <w:r w:rsidR="004959BA">
              <w:rPr>
                <w:sz w:val="22"/>
                <w:szCs w:val="22"/>
                <w:lang w:val="en-GB"/>
              </w:rPr>
              <w:t>rce</w:t>
            </w:r>
            <w:r w:rsidR="00F17F3D">
              <w:rPr>
                <w:sz w:val="22"/>
                <w:szCs w:val="22"/>
                <w:lang w:val="en-GB"/>
              </w:rPr>
              <w:t>, risk identification/minimisation</w:t>
            </w:r>
            <w:r w:rsidR="004959BA">
              <w:rPr>
                <w:sz w:val="22"/>
                <w:szCs w:val="22"/>
                <w:lang w:val="en-GB"/>
              </w:rPr>
              <w:t xml:space="preserve"> and financial implications</w:t>
            </w:r>
            <w:r w:rsidR="00BE744D">
              <w:rPr>
                <w:sz w:val="22"/>
                <w:szCs w:val="22"/>
                <w:lang w:val="en-GB"/>
              </w:rPr>
              <w:t>.</w:t>
            </w:r>
          </w:p>
          <w:p w14:paraId="5BC00171" w14:textId="77777777" w:rsidR="00FD7872" w:rsidRPr="00153909" w:rsidRDefault="00FD7872" w:rsidP="00FD7872">
            <w:pPr>
              <w:numPr>
                <w:ilvl w:val="0"/>
                <w:numId w:val="2"/>
              </w:numPr>
              <w:tabs>
                <w:tab w:val="num" w:pos="400"/>
              </w:tabs>
              <w:spacing w:before="60" w:after="60" w:line="240" w:lineRule="auto"/>
              <w:ind w:left="318" w:hanging="284"/>
              <w:rPr>
                <w:sz w:val="22"/>
                <w:szCs w:val="22"/>
              </w:rPr>
            </w:pPr>
            <w:r w:rsidRPr="00F1090B">
              <w:rPr>
                <w:sz w:val="22"/>
                <w:szCs w:val="22"/>
                <w:lang w:val="en-GB"/>
              </w:rPr>
              <w:t>Ensure agreed deliverables and outputs (including monitoring reports) are achieved and are of high quality.</w:t>
            </w:r>
          </w:p>
          <w:p w14:paraId="4A77B5AE" w14:textId="77777777" w:rsidR="00153909" w:rsidRPr="002E7353" w:rsidRDefault="00153909" w:rsidP="00153909">
            <w:pPr>
              <w:spacing w:before="60" w:after="60" w:line="240" w:lineRule="auto"/>
              <w:ind w:left="318"/>
              <w:rPr>
                <w:sz w:val="22"/>
                <w:szCs w:val="22"/>
              </w:rPr>
            </w:pPr>
          </w:p>
        </w:tc>
      </w:tr>
      <w:tr w:rsidR="00FD7872" w:rsidRPr="0080017F" w14:paraId="79842407" w14:textId="77777777" w:rsidTr="00FD78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683C" w14:textId="77777777" w:rsidR="00FD7872" w:rsidRPr="00560A88" w:rsidRDefault="00FD7872" w:rsidP="00FD7872">
            <w:pPr>
              <w:pStyle w:val="Heading3"/>
              <w:spacing w:before="60" w:after="60"/>
              <w:rPr>
                <w:b/>
              </w:rPr>
            </w:pPr>
            <w:r w:rsidRPr="00560A88">
              <w:rPr>
                <w:b/>
              </w:rPr>
              <w:t>Task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8BDC" w14:textId="27C3EADC" w:rsidR="00FD7872" w:rsidRPr="0024271A" w:rsidRDefault="00D712D4" w:rsidP="00FD7872">
            <w:pPr>
              <w:spacing w:before="60" w:after="60"/>
              <w:rPr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</w:t>
            </w:r>
            <w:r w:rsidR="00770226">
              <w:rPr>
                <w:rFonts w:cs="Arial"/>
                <w:b/>
                <w:sz w:val="22"/>
                <w:szCs w:val="22"/>
              </w:rPr>
              <w:t xml:space="preserve">eport progress against Workplan to key groups within </w:t>
            </w:r>
            <w:r w:rsidR="001F72A7">
              <w:rPr>
                <w:rFonts w:cs="Arial"/>
                <w:b/>
                <w:sz w:val="22"/>
                <w:szCs w:val="22"/>
              </w:rPr>
              <w:t>Te Whatu Ora Te Waipounamu</w:t>
            </w:r>
          </w:p>
        </w:tc>
      </w:tr>
      <w:tr w:rsidR="00FD7872" w:rsidRPr="0080017F" w14:paraId="1C863698" w14:textId="77777777" w:rsidTr="00FD78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07B8" w14:textId="77777777" w:rsidR="00FD7872" w:rsidRPr="00560A88" w:rsidRDefault="00FD7872" w:rsidP="00FD7872">
            <w:pPr>
              <w:pStyle w:val="Heading3"/>
              <w:spacing w:before="60" w:after="60"/>
              <w:rPr>
                <w:b/>
              </w:rPr>
            </w:pPr>
            <w:r w:rsidRPr="00560A88">
              <w:rPr>
                <w:b/>
              </w:rPr>
              <w:t>Measures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FE3B" w14:textId="47A756CE" w:rsidR="00FD7872" w:rsidRPr="001F72A7" w:rsidRDefault="001F72A7" w:rsidP="001F72A7">
            <w:pPr>
              <w:numPr>
                <w:ilvl w:val="0"/>
                <w:numId w:val="2"/>
              </w:numPr>
              <w:spacing w:before="60" w:after="60" w:line="240" w:lineRule="auto"/>
              <w:ind w:left="318" w:hanging="284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17F3D" w:rsidRPr="001F72A7">
              <w:rPr>
                <w:sz w:val="22"/>
                <w:szCs w:val="22"/>
              </w:rPr>
              <w:t>Timely reports</w:t>
            </w:r>
            <w:r w:rsidR="00FD7872" w:rsidRPr="001F72A7">
              <w:rPr>
                <w:sz w:val="22"/>
                <w:szCs w:val="22"/>
              </w:rPr>
              <w:t xml:space="preserve"> on the objectives and deliverables of agreed initiatives and tasks related to the </w:t>
            </w:r>
            <w:r w:rsidR="00770226" w:rsidRPr="001F72A7">
              <w:rPr>
                <w:sz w:val="22"/>
                <w:szCs w:val="22"/>
              </w:rPr>
              <w:t>Programmes</w:t>
            </w:r>
            <w:r w:rsidR="00FD7872" w:rsidRPr="001F72A7">
              <w:rPr>
                <w:sz w:val="22"/>
                <w:szCs w:val="22"/>
              </w:rPr>
              <w:t xml:space="preserve"> are achieved.</w:t>
            </w:r>
          </w:p>
          <w:p w14:paraId="4CE8DD7F" w14:textId="79BA0A61" w:rsidR="00FD7872" w:rsidRPr="001F72A7" w:rsidRDefault="00770226" w:rsidP="00CD5247">
            <w:pPr>
              <w:numPr>
                <w:ilvl w:val="0"/>
                <w:numId w:val="2"/>
              </w:numPr>
              <w:spacing w:before="60" w:after="60" w:line="240" w:lineRule="auto"/>
              <w:ind w:left="318" w:hanging="284"/>
              <w:rPr>
                <w:b/>
                <w:sz w:val="22"/>
                <w:szCs w:val="22"/>
              </w:rPr>
            </w:pPr>
            <w:r w:rsidRPr="00770226">
              <w:rPr>
                <w:sz w:val="22"/>
                <w:szCs w:val="22"/>
              </w:rPr>
              <w:t>Reports a</w:t>
            </w:r>
            <w:r w:rsidR="00F17F3D">
              <w:rPr>
                <w:sz w:val="22"/>
                <w:szCs w:val="22"/>
              </w:rPr>
              <w:t>re tailored to their audience, a</w:t>
            </w:r>
            <w:r w:rsidRPr="00770226">
              <w:rPr>
                <w:sz w:val="22"/>
                <w:szCs w:val="22"/>
              </w:rPr>
              <w:t>re succinct, timely and informative.</w:t>
            </w:r>
          </w:p>
        </w:tc>
      </w:tr>
      <w:tr w:rsidR="00155A0B" w:rsidRPr="0080017F" w14:paraId="6B9EAFEE" w14:textId="77777777" w:rsidTr="00FD78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F89A" w14:textId="0C21D75A" w:rsidR="00155A0B" w:rsidRPr="00155A0B" w:rsidRDefault="00155A0B" w:rsidP="00FD7872">
            <w:pPr>
              <w:pStyle w:val="Heading3"/>
              <w:spacing w:before="60" w:after="60"/>
              <w:rPr>
                <w:b/>
                <w:sz w:val="22"/>
                <w:szCs w:val="22"/>
              </w:rPr>
            </w:pPr>
            <w:r w:rsidRPr="00155A0B">
              <w:rPr>
                <w:b/>
                <w:sz w:val="22"/>
                <w:szCs w:val="22"/>
              </w:rPr>
              <w:t>TASK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D873" w14:textId="203C0028" w:rsidR="00155A0B" w:rsidRPr="00155A0B" w:rsidRDefault="00155A0B" w:rsidP="007F249B">
            <w:pPr>
              <w:spacing w:before="60" w:after="60" w:line="240" w:lineRule="auto"/>
              <w:rPr>
                <w:b/>
                <w:sz w:val="22"/>
                <w:szCs w:val="22"/>
              </w:rPr>
            </w:pPr>
            <w:r w:rsidRPr="00155A0B">
              <w:rPr>
                <w:b/>
                <w:sz w:val="22"/>
                <w:szCs w:val="22"/>
              </w:rPr>
              <w:t xml:space="preserve">Ensure professional working relationships with all stakeholders </w:t>
            </w:r>
          </w:p>
        </w:tc>
      </w:tr>
      <w:tr w:rsidR="00155A0B" w:rsidRPr="0080017F" w14:paraId="55828B2B" w14:textId="77777777" w:rsidTr="00FD78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EC8D" w14:textId="094F4C4C" w:rsidR="00155A0B" w:rsidRPr="00155A0B" w:rsidRDefault="00155A0B" w:rsidP="00BE744D">
            <w:pPr>
              <w:pStyle w:val="Heading2"/>
              <w:rPr>
                <w:b/>
                <w:sz w:val="22"/>
                <w:szCs w:val="22"/>
              </w:rPr>
            </w:pPr>
            <w:r w:rsidRPr="00155A0B">
              <w:rPr>
                <w:b/>
                <w:sz w:val="22"/>
                <w:szCs w:val="22"/>
              </w:rPr>
              <w:t>MEASURE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AAA5" w14:textId="27883F69" w:rsidR="008271AE" w:rsidRPr="00BE744D" w:rsidRDefault="00155A0B" w:rsidP="00BE744D">
            <w:pPr>
              <w:numPr>
                <w:ilvl w:val="0"/>
                <w:numId w:val="2"/>
              </w:numPr>
              <w:spacing w:before="60" w:after="60" w:line="240" w:lineRule="auto"/>
              <w:ind w:left="318" w:hanging="284"/>
              <w:rPr>
                <w:sz w:val="22"/>
                <w:szCs w:val="22"/>
              </w:rPr>
            </w:pPr>
            <w:r w:rsidRPr="00BE744D">
              <w:rPr>
                <w:sz w:val="22"/>
                <w:szCs w:val="22"/>
              </w:rPr>
              <w:t xml:space="preserve">Engage and partner with appropriate </w:t>
            </w:r>
            <w:r w:rsidR="001F72A7" w:rsidRPr="00BE744D">
              <w:rPr>
                <w:sz w:val="22"/>
                <w:szCs w:val="22"/>
              </w:rPr>
              <w:t xml:space="preserve">district and regional </w:t>
            </w:r>
            <w:r w:rsidR="00966DAA" w:rsidRPr="00BE744D">
              <w:rPr>
                <w:sz w:val="22"/>
                <w:szCs w:val="22"/>
              </w:rPr>
              <w:t>staff</w:t>
            </w:r>
            <w:r w:rsidR="002972E9" w:rsidRPr="00BE744D">
              <w:rPr>
                <w:sz w:val="22"/>
                <w:szCs w:val="22"/>
              </w:rPr>
              <w:t>,</w:t>
            </w:r>
            <w:r w:rsidRPr="00BE744D">
              <w:rPr>
                <w:sz w:val="22"/>
                <w:szCs w:val="22"/>
              </w:rPr>
              <w:t xml:space="preserve"> </w:t>
            </w:r>
            <w:r w:rsidR="001F72A7" w:rsidRPr="00BE744D">
              <w:rPr>
                <w:sz w:val="22"/>
                <w:szCs w:val="22"/>
              </w:rPr>
              <w:t>network and service</w:t>
            </w:r>
            <w:r w:rsidR="001279B6" w:rsidRPr="00BE744D">
              <w:rPr>
                <w:sz w:val="22"/>
                <w:szCs w:val="22"/>
              </w:rPr>
              <w:t xml:space="preserve"> </w:t>
            </w:r>
            <w:r w:rsidRPr="00BE744D">
              <w:rPr>
                <w:sz w:val="22"/>
                <w:szCs w:val="22"/>
              </w:rPr>
              <w:t>members and other stakeholders to ensure solutions are fit-for-purpose, align with strategy</w:t>
            </w:r>
            <w:r w:rsidR="001F72A7" w:rsidRPr="00BE744D">
              <w:rPr>
                <w:sz w:val="22"/>
                <w:szCs w:val="22"/>
              </w:rPr>
              <w:t>.</w:t>
            </w:r>
          </w:p>
          <w:p w14:paraId="1CFF95F3" w14:textId="0188A544" w:rsidR="00155A0B" w:rsidRPr="00BE744D" w:rsidRDefault="00155A0B" w:rsidP="00BE744D">
            <w:pPr>
              <w:numPr>
                <w:ilvl w:val="0"/>
                <w:numId w:val="2"/>
              </w:numPr>
              <w:spacing w:before="60" w:after="60" w:line="240" w:lineRule="auto"/>
              <w:ind w:left="318" w:hanging="284"/>
              <w:rPr>
                <w:sz w:val="22"/>
                <w:szCs w:val="22"/>
              </w:rPr>
            </w:pPr>
            <w:r w:rsidRPr="00BE744D">
              <w:rPr>
                <w:sz w:val="22"/>
                <w:szCs w:val="22"/>
              </w:rPr>
              <w:t xml:space="preserve">Establish and maintain effective working relationships with key </w:t>
            </w:r>
            <w:r w:rsidR="001F72A7" w:rsidRPr="00BE744D">
              <w:rPr>
                <w:sz w:val="22"/>
                <w:szCs w:val="22"/>
              </w:rPr>
              <w:t xml:space="preserve">Te Whatu Ora </w:t>
            </w:r>
            <w:r w:rsidR="00DE1A20" w:rsidRPr="00BE744D">
              <w:rPr>
                <w:sz w:val="22"/>
                <w:szCs w:val="22"/>
              </w:rPr>
              <w:t>staff</w:t>
            </w:r>
            <w:r w:rsidR="00BE744D">
              <w:rPr>
                <w:sz w:val="22"/>
                <w:szCs w:val="22"/>
              </w:rPr>
              <w:t>.</w:t>
            </w:r>
          </w:p>
          <w:p w14:paraId="7641CDD6" w14:textId="020C548B" w:rsidR="00153909" w:rsidRPr="001F72A7" w:rsidRDefault="00153909" w:rsidP="00BE744D">
            <w:pPr>
              <w:spacing w:before="60" w:after="60" w:line="240" w:lineRule="auto"/>
              <w:rPr>
                <w:sz w:val="22"/>
                <w:szCs w:val="22"/>
              </w:rPr>
            </w:pPr>
          </w:p>
        </w:tc>
      </w:tr>
      <w:tr w:rsidR="00FD7872" w:rsidRPr="0080017F" w14:paraId="59A1F1E9" w14:textId="77777777" w:rsidTr="00FD78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1672" w14:textId="77777777" w:rsidR="00FD7872" w:rsidRPr="00F31BDA" w:rsidRDefault="00FD7872" w:rsidP="00FD7872">
            <w:pPr>
              <w:pStyle w:val="Heading3"/>
              <w:spacing w:before="60" w:after="60"/>
              <w:rPr>
                <w:b/>
              </w:rPr>
            </w:pPr>
            <w:r w:rsidRPr="00F31BDA">
              <w:rPr>
                <w:b/>
              </w:rPr>
              <w:t>Task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FA38" w14:textId="7346DE7C" w:rsidR="00FD7872" w:rsidRPr="00F31BDA" w:rsidRDefault="00FD7872" w:rsidP="00FD7872">
            <w:pPr>
              <w:spacing w:before="60" w:after="60"/>
              <w:rPr>
                <w:b/>
                <w:sz w:val="22"/>
                <w:szCs w:val="22"/>
              </w:rPr>
            </w:pPr>
            <w:r w:rsidRPr="00F31BDA">
              <w:rPr>
                <w:rFonts w:cs="Arial"/>
                <w:b/>
                <w:sz w:val="22"/>
                <w:szCs w:val="22"/>
              </w:rPr>
              <w:t xml:space="preserve">Contribute to the reputation of </w:t>
            </w:r>
            <w:r w:rsidR="001F72A7">
              <w:rPr>
                <w:rFonts w:cs="Arial"/>
                <w:b/>
                <w:sz w:val="22"/>
                <w:szCs w:val="22"/>
              </w:rPr>
              <w:t>Te Whatu Ora, Te Waipounamu</w:t>
            </w:r>
            <w:r w:rsidRPr="00F31BDA">
              <w:rPr>
                <w:rFonts w:cs="Arial"/>
                <w:b/>
                <w:sz w:val="22"/>
                <w:szCs w:val="22"/>
              </w:rPr>
              <w:t>.</w:t>
            </w:r>
          </w:p>
        </w:tc>
      </w:tr>
      <w:tr w:rsidR="00FD7872" w:rsidRPr="0080017F" w14:paraId="6FD1AB97" w14:textId="77777777" w:rsidTr="00FD78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60FF" w14:textId="77777777" w:rsidR="00FD7872" w:rsidRPr="00F31BDA" w:rsidRDefault="00FD7872" w:rsidP="00FD7872">
            <w:pPr>
              <w:pStyle w:val="Heading3"/>
              <w:spacing w:before="60" w:after="60"/>
              <w:rPr>
                <w:b/>
              </w:rPr>
            </w:pPr>
            <w:r w:rsidRPr="00F31BDA">
              <w:rPr>
                <w:b/>
              </w:rPr>
              <w:t>Measures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E696" w14:textId="7238C9A3" w:rsidR="00FD7872" w:rsidRPr="00F31BDA" w:rsidRDefault="00FD7872" w:rsidP="00FD7872">
            <w:pPr>
              <w:numPr>
                <w:ilvl w:val="0"/>
                <w:numId w:val="2"/>
              </w:numPr>
              <w:spacing w:before="60" w:after="60" w:line="240" w:lineRule="auto"/>
              <w:ind w:left="318" w:hanging="284"/>
              <w:rPr>
                <w:sz w:val="22"/>
                <w:szCs w:val="22"/>
              </w:rPr>
            </w:pPr>
            <w:r w:rsidRPr="00F31BDA">
              <w:rPr>
                <w:sz w:val="22"/>
                <w:szCs w:val="22"/>
              </w:rPr>
              <w:t xml:space="preserve">Represent </w:t>
            </w:r>
            <w:r w:rsidR="001F72A7" w:rsidRPr="00CD5247">
              <w:rPr>
                <w:sz w:val="22"/>
                <w:szCs w:val="22"/>
              </w:rPr>
              <w:t>Te Whatu Ora, Te Waipounamu</w:t>
            </w:r>
            <w:r w:rsidR="00BE744D">
              <w:rPr>
                <w:sz w:val="22"/>
                <w:szCs w:val="22"/>
              </w:rPr>
              <w:t xml:space="preserve"> </w:t>
            </w:r>
            <w:r w:rsidRPr="00F31BDA">
              <w:rPr>
                <w:sz w:val="22"/>
                <w:szCs w:val="22"/>
              </w:rPr>
              <w:t xml:space="preserve">in dealings with the public and the health sector in a way that enhances the perception of </w:t>
            </w:r>
            <w:r w:rsidR="001F72A7">
              <w:rPr>
                <w:sz w:val="22"/>
                <w:szCs w:val="22"/>
              </w:rPr>
              <w:t>the organization.</w:t>
            </w:r>
          </w:p>
          <w:p w14:paraId="0B55DB11" w14:textId="77777777" w:rsidR="00FD7872" w:rsidRPr="00F31BDA" w:rsidRDefault="00FD7872" w:rsidP="00FD7872">
            <w:pPr>
              <w:numPr>
                <w:ilvl w:val="0"/>
                <w:numId w:val="2"/>
              </w:numPr>
              <w:spacing w:before="60" w:after="60" w:line="240" w:lineRule="auto"/>
              <w:ind w:left="318" w:hanging="284"/>
              <w:rPr>
                <w:sz w:val="22"/>
                <w:szCs w:val="22"/>
              </w:rPr>
            </w:pPr>
            <w:r w:rsidRPr="00F31BDA">
              <w:rPr>
                <w:sz w:val="22"/>
                <w:szCs w:val="22"/>
              </w:rPr>
              <w:t>Keep up to date with current practice and knowledge in-keeping with the reputation of being a subject matter expert of subject area.</w:t>
            </w:r>
          </w:p>
          <w:p w14:paraId="77C1D518" w14:textId="327FCC75" w:rsidR="00FD7872" w:rsidRPr="00F31BDA" w:rsidRDefault="00FD7872" w:rsidP="00FD7872">
            <w:pPr>
              <w:numPr>
                <w:ilvl w:val="0"/>
                <w:numId w:val="2"/>
              </w:numPr>
              <w:spacing w:before="60" w:after="60" w:line="240" w:lineRule="auto"/>
              <w:ind w:left="318" w:hanging="284"/>
              <w:rPr>
                <w:sz w:val="22"/>
                <w:szCs w:val="22"/>
              </w:rPr>
            </w:pPr>
            <w:r w:rsidRPr="00F31BDA">
              <w:rPr>
                <w:sz w:val="22"/>
                <w:szCs w:val="22"/>
              </w:rPr>
              <w:t>Maintains professional standards of presentation, conduct and relationships with all stakeholders.</w:t>
            </w:r>
          </w:p>
          <w:p w14:paraId="6218E337" w14:textId="77777777" w:rsidR="00FD7872" w:rsidRPr="00F31BDA" w:rsidRDefault="00FD7872" w:rsidP="00FD7872">
            <w:pPr>
              <w:spacing w:before="60" w:after="60" w:line="240" w:lineRule="auto"/>
              <w:ind w:left="318"/>
              <w:rPr>
                <w:sz w:val="22"/>
                <w:szCs w:val="22"/>
              </w:rPr>
            </w:pPr>
          </w:p>
        </w:tc>
      </w:tr>
      <w:tr w:rsidR="00FD7872" w:rsidRPr="0080017F" w14:paraId="3E6D234E" w14:textId="77777777" w:rsidTr="00FD78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AE4C" w14:textId="77777777" w:rsidR="00FD7872" w:rsidRPr="00F31BDA" w:rsidRDefault="00FD7872" w:rsidP="00FD7872">
            <w:pPr>
              <w:pStyle w:val="Heading3"/>
              <w:spacing w:before="60" w:after="60"/>
              <w:rPr>
                <w:b/>
              </w:rPr>
            </w:pPr>
            <w:r w:rsidRPr="00F31BDA">
              <w:rPr>
                <w:b/>
              </w:rPr>
              <w:lastRenderedPageBreak/>
              <w:t>Task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8FEB" w14:textId="6BD3807A" w:rsidR="00FD7872" w:rsidRPr="00F31BDA" w:rsidRDefault="00FD7872" w:rsidP="00FD7872">
            <w:pPr>
              <w:spacing w:before="60" w:after="60"/>
              <w:rPr>
                <w:sz w:val="22"/>
                <w:szCs w:val="22"/>
              </w:rPr>
            </w:pPr>
            <w:r w:rsidRPr="00F31BDA">
              <w:rPr>
                <w:rFonts w:cs="Arial"/>
                <w:b/>
                <w:sz w:val="22"/>
                <w:szCs w:val="22"/>
              </w:rPr>
              <w:t>Contribute to team culture and development within the South Programme Office</w:t>
            </w:r>
            <w:r w:rsidRPr="00F31BDA" w:rsidDel="00C5388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D7872" w:rsidRPr="0080017F" w14:paraId="27DAF92C" w14:textId="77777777" w:rsidTr="00FD78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479E" w14:textId="77777777" w:rsidR="00FD7872" w:rsidRPr="00F31BDA" w:rsidRDefault="00FD7872" w:rsidP="00FD7872">
            <w:pPr>
              <w:pStyle w:val="Heading3"/>
              <w:spacing w:before="60" w:after="60"/>
              <w:rPr>
                <w:b/>
              </w:rPr>
            </w:pPr>
            <w:r w:rsidRPr="00F31BDA">
              <w:rPr>
                <w:b/>
              </w:rPr>
              <w:t>Measure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61E6" w14:textId="2BF4B3F5" w:rsidR="00FD7872" w:rsidRPr="00F31BDA" w:rsidRDefault="00FD7872" w:rsidP="00FD7872">
            <w:pPr>
              <w:numPr>
                <w:ilvl w:val="0"/>
                <w:numId w:val="2"/>
              </w:numPr>
              <w:spacing w:before="60" w:after="60" w:line="240" w:lineRule="auto"/>
              <w:ind w:left="318" w:hanging="284"/>
              <w:rPr>
                <w:sz w:val="22"/>
                <w:szCs w:val="22"/>
              </w:rPr>
            </w:pPr>
            <w:r w:rsidRPr="00F31BDA">
              <w:rPr>
                <w:sz w:val="22"/>
                <w:szCs w:val="22"/>
              </w:rPr>
              <w:t>Attend and contribute actively to the</w:t>
            </w:r>
            <w:r w:rsidR="001F72A7">
              <w:rPr>
                <w:sz w:val="22"/>
                <w:szCs w:val="22"/>
              </w:rPr>
              <w:t xml:space="preserve"> </w:t>
            </w:r>
            <w:r w:rsidRPr="00F31BDA">
              <w:rPr>
                <w:sz w:val="22"/>
                <w:szCs w:val="22"/>
              </w:rPr>
              <w:t>Programme Office team meetings and planning days.</w:t>
            </w:r>
          </w:p>
          <w:p w14:paraId="12D084CE" w14:textId="0C8EB0E8" w:rsidR="00FD7872" w:rsidRPr="00F31BDA" w:rsidRDefault="004B5E53" w:rsidP="00FD7872">
            <w:pPr>
              <w:numPr>
                <w:ilvl w:val="0"/>
                <w:numId w:val="2"/>
              </w:numPr>
              <w:spacing w:before="60" w:after="60" w:line="240" w:lineRule="auto"/>
              <w:ind w:left="318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</w:t>
            </w:r>
            <w:r w:rsidR="00FD7872" w:rsidRPr="00F31BDA">
              <w:rPr>
                <w:sz w:val="22"/>
                <w:szCs w:val="22"/>
              </w:rPr>
              <w:t xml:space="preserve"> an effective and flexible resource to meet the changing work and business needs of Programme Support Office.</w:t>
            </w:r>
          </w:p>
          <w:p w14:paraId="6970B609" w14:textId="77777777" w:rsidR="00FD7872" w:rsidRDefault="00FD7872" w:rsidP="00FD7872">
            <w:pPr>
              <w:numPr>
                <w:ilvl w:val="0"/>
                <w:numId w:val="2"/>
              </w:numPr>
              <w:spacing w:before="60" w:after="60" w:line="240" w:lineRule="auto"/>
              <w:ind w:left="318" w:hanging="284"/>
              <w:rPr>
                <w:sz w:val="22"/>
                <w:szCs w:val="22"/>
              </w:rPr>
            </w:pPr>
            <w:r w:rsidRPr="00F31BDA">
              <w:rPr>
                <w:sz w:val="22"/>
                <w:szCs w:val="22"/>
              </w:rPr>
              <w:t>Promote a friendly and supportive team environment that is responsive, accountable and professional, and client focused.</w:t>
            </w:r>
          </w:p>
          <w:p w14:paraId="64839AEA" w14:textId="77777777" w:rsidR="00153909" w:rsidRPr="00F31BDA" w:rsidRDefault="00153909" w:rsidP="00153909">
            <w:pPr>
              <w:spacing w:before="60" w:after="60" w:line="240" w:lineRule="auto"/>
              <w:ind w:left="318"/>
              <w:rPr>
                <w:sz w:val="22"/>
                <w:szCs w:val="22"/>
              </w:rPr>
            </w:pPr>
          </w:p>
        </w:tc>
      </w:tr>
    </w:tbl>
    <w:p w14:paraId="31448E8B" w14:textId="4886EAE4" w:rsidR="00CD4C4F" w:rsidRDefault="00CD4C4F" w:rsidP="00165A01">
      <w:pPr>
        <w:pStyle w:val="BodyTextIndent"/>
        <w:tabs>
          <w:tab w:val="clear" w:pos="1134"/>
        </w:tabs>
        <w:spacing w:before="60" w:after="60" w:line="240" w:lineRule="auto"/>
        <w:ind w:left="0"/>
        <w:rPr>
          <w:rFonts w:ascii="Calibri" w:hAnsi="Calibri"/>
          <w:szCs w:val="22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CD5247" w:rsidRPr="00E566F8" w14:paraId="690A246F" w14:textId="77777777" w:rsidTr="00ED26FC">
        <w:trPr>
          <w:cantSplit/>
        </w:trPr>
        <w:tc>
          <w:tcPr>
            <w:tcW w:w="9464" w:type="dxa"/>
          </w:tcPr>
          <w:p w14:paraId="1024A63D" w14:textId="77777777" w:rsidR="00CD5247" w:rsidRPr="00E566F8" w:rsidRDefault="00CD5247" w:rsidP="00ED26FC">
            <w:pPr>
              <w:spacing w:before="120" w:after="120" w:line="240" w:lineRule="auto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566F8">
              <w:rPr>
                <w:rStyle w:val="Heading3Char"/>
                <w:b/>
              </w:rPr>
              <w:t>Qualifications and Experience:</w:t>
            </w:r>
          </w:p>
        </w:tc>
      </w:tr>
      <w:tr w:rsidR="00CD5247" w:rsidRPr="0080017F" w14:paraId="65AA61BE" w14:textId="77777777" w:rsidTr="00ED26FC">
        <w:tc>
          <w:tcPr>
            <w:tcW w:w="9464" w:type="dxa"/>
          </w:tcPr>
          <w:p w14:paraId="4524B1F5" w14:textId="16CD3C5F" w:rsidR="00CD5247" w:rsidRPr="00D4374E" w:rsidRDefault="00CD5247" w:rsidP="00CD5247">
            <w:pPr>
              <w:numPr>
                <w:ilvl w:val="0"/>
                <w:numId w:val="2"/>
              </w:numPr>
              <w:spacing w:before="60" w:after="60" w:line="240" w:lineRule="auto"/>
              <w:ind w:left="426" w:hanging="426"/>
              <w:rPr>
                <w:sz w:val="22"/>
                <w:szCs w:val="22"/>
              </w:rPr>
            </w:pPr>
            <w:r w:rsidRPr="00D4374E">
              <w:rPr>
                <w:sz w:val="22"/>
                <w:szCs w:val="22"/>
              </w:rPr>
              <w:t xml:space="preserve">A tertiary qualification preferably in health, social sciences, or in a </w:t>
            </w:r>
            <w:r w:rsidR="00BE744D" w:rsidRPr="00D4374E">
              <w:rPr>
                <w:sz w:val="22"/>
                <w:szCs w:val="22"/>
              </w:rPr>
              <w:t>business-related</w:t>
            </w:r>
            <w:r w:rsidRPr="00D4374E">
              <w:rPr>
                <w:sz w:val="22"/>
                <w:szCs w:val="22"/>
              </w:rPr>
              <w:t xml:space="preserve"> area.</w:t>
            </w:r>
          </w:p>
          <w:p w14:paraId="2BCBD29B" w14:textId="77777777" w:rsidR="00CD5247" w:rsidRPr="00D4374E" w:rsidRDefault="00CD5247" w:rsidP="00CD5247">
            <w:pPr>
              <w:numPr>
                <w:ilvl w:val="0"/>
                <w:numId w:val="2"/>
              </w:numPr>
              <w:spacing w:before="60" w:after="60" w:line="240" w:lineRule="auto"/>
              <w:ind w:left="426" w:hanging="426"/>
              <w:rPr>
                <w:sz w:val="22"/>
                <w:szCs w:val="22"/>
              </w:rPr>
            </w:pPr>
            <w:r w:rsidRPr="00D4374E">
              <w:rPr>
                <w:sz w:val="22"/>
                <w:szCs w:val="22"/>
              </w:rPr>
              <w:t>An understanding and commitment to the Treaty of Waitangi and its impact on health planning and funding.</w:t>
            </w:r>
          </w:p>
          <w:p w14:paraId="455B4C8A" w14:textId="77777777" w:rsidR="00CD5247" w:rsidRPr="00D4374E" w:rsidRDefault="00CD5247" w:rsidP="00CD5247">
            <w:pPr>
              <w:numPr>
                <w:ilvl w:val="0"/>
                <w:numId w:val="2"/>
              </w:numPr>
              <w:spacing w:before="60" w:after="60" w:line="240" w:lineRule="auto"/>
              <w:ind w:left="426" w:hanging="426"/>
              <w:rPr>
                <w:sz w:val="22"/>
                <w:szCs w:val="22"/>
              </w:rPr>
            </w:pPr>
            <w:r w:rsidRPr="00D4374E">
              <w:rPr>
                <w:sz w:val="22"/>
                <w:szCs w:val="22"/>
              </w:rPr>
              <w:t>Demonstrated knowledge of the New Zealand health sector.</w:t>
            </w:r>
          </w:p>
          <w:p w14:paraId="5A9427DE" w14:textId="77777777" w:rsidR="00CD5247" w:rsidRPr="00D4374E" w:rsidRDefault="00CD5247" w:rsidP="00CD5247">
            <w:pPr>
              <w:numPr>
                <w:ilvl w:val="0"/>
                <w:numId w:val="2"/>
              </w:numPr>
              <w:spacing w:before="60" w:after="60" w:line="240" w:lineRule="auto"/>
              <w:ind w:left="426" w:hanging="426"/>
              <w:rPr>
                <w:sz w:val="22"/>
                <w:szCs w:val="22"/>
              </w:rPr>
            </w:pPr>
            <w:r w:rsidRPr="00D4374E">
              <w:rPr>
                <w:sz w:val="22"/>
                <w:szCs w:val="22"/>
              </w:rPr>
              <w:t>Project management experience, with an emphasis on clinical projects or health service development projects.</w:t>
            </w:r>
          </w:p>
          <w:p w14:paraId="00CA5268" w14:textId="77777777" w:rsidR="00CD5247" w:rsidRPr="00D4374E" w:rsidRDefault="00CD5247" w:rsidP="00CD5247">
            <w:pPr>
              <w:numPr>
                <w:ilvl w:val="0"/>
                <w:numId w:val="2"/>
              </w:numPr>
              <w:spacing w:before="60" w:after="60" w:line="240" w:lineRule="auto"/>
              <w:ind w:left="426" w:hanging="426"/>
              <w:rPr>
                <w:sz w:val="22"/>
                <w:szCs w:val="22"/>
              </w:rPr>
            </w:pPr>
            <w:r w:rsidRPr="00D4374E">
              <w:rPr>
                <w:sz w:val="22"/>
                <w:szCs w:val="22"/>
              </w:rPr>
              <w:t>The ability to identify health issues and propose development opportunities.</w:t>
            </w:r>
          </w:p>
          <w:p w14:paraId="6CC822B1" w14:textId="548019D7" w:rsidR="00CD5247" w:rsidRPr="00D4374E" w:rsidRDefault="00CD5247" w:rsidP="00CD5247">
            <w:pPr>
              <w:numPr>
                <w:ilvl w:val="0"/>
                <w:numId w:val="2"/>
              </w:numPr>
              <w:spacing w:before="60" w:after="60" w:line="240" w:lineRule="auto"/>
              <w:ind w:left="426" w:hanging="426"/>
              <w:rPr>
                <w:sz w:val="22"/>
                <w:szCs w:val="22"/>
              </w:rPr>
            </w:pPr>
            <w:r w:rsidRPr="00D4374E">
              <w:rPr>
                <w:sz w:val="22"/>
                <w:szCs w:val="22"/>
              </w:rPr>
              <w:t xml:space="preserve"> The ability to influence </w:t>
            </w:r>
            <w:r>
              <w:rPr>
                <w:sz w:val="22"/>
                <w:szCs w:val="22"/>
              </w:rPr>
              <w:t>decision makers</w:t>
            </w:r>
            <w:r w:rsidRPr="00D4374E">
              <w:rPr>
                <w:sz w:val="22"/>
                <w:szCs w:val="22"/>
              </w:rPr>
              <w:t xml:space="preserve"> and other key stakeholders.</w:t>
            </w:r>
          </w:p>
          <w:p w14:paraId="54E7C202" w14:textId="77777777" w:rsidR="00CD5247" w:rsidRPr="00D4374E" w:rsidRDefault="00CD5247" w:rsidP="00CD5247">
            <w:pPr>
              <w:numPr>
                <w:ilvl w:val="0"/>
                <w:numId w:val="2"/>
              </w:numPr>
              <w:spacing w:before="60" w:after="60" w:line="240" w:lineRule="auto"/>
              <w:ind w:left="426" w:hanging="426"/>
              <w:rPr>
                <w:sz w:val="22"/>
                <w:szCs w:val="22"/>
              </w:rPr>
            </w:pPr>
            <w:r w:rsidRPr="00D4374E">
              <w:rPr>
                <w:sz w:val="22"/>
                <w:szCs w:val="22"/>
              </w:rPr>
              <w:t xml:space="preserve">Excellent inter-personal relationship and teamwork skills, supported by excellent communication and </w:t>
            </w:r>
            <w:proofErr w:type="spellStart"/>
            <w:r w:rsidRPr="00D4374E">
              <w:rPr>
                <w:sz w:val="22"/>
                <w:szCs w:val="22"/>
              </w:rPr>
              <w:t>organisational</w:t>
            </w:r>
            <w:proofErr w:type="spellEnd"/>
            <w:r w:rsidRPr="00D4374E">
              <w:rPr>
                <w:sz w:val="22"/>
                <w:szCs w:val="22"/>
              </w:rPr>
              <w:t xml:space="preserve"> skills.</w:t>
            </w:r>
          </w:p>
          <w:p w14:paraId="5A0AA6B5" w14:textId="50F887AB" w:rsidR="00CD5247" w:rsidRPr="0080017F" w:rsidRDefault="00CD5247" w:rsidP="00CD5247">
            <w:pPr>
              <w:spacing w:before="60" w:after="60" w:line="240" w:lineRule="auto"/>
              <w:ind w:left="426"/>
            </w:pPr>
          </w:p>
        </w:tc>
      </w:tr>
    </w:tbl>
    <w:p w14:paraId="3C94A546" w14:textId="77777777" w:rsidR="00CD5247" w:rsidRDefault="00CD5247" w:rsidP="00165A01">
      <w:pPr>
        <w:pStyle w:val="BodyTextIndent"/>
        <w:tabs>
          <w:tab w:val="clear" w:pos="1134"/>
        </w:tabs>
        <w:spacing w:before="60" w:after="60" w:line="240" w:lineRule="auto"/>
        <w:ind w:left="0"/>
        <w:rPr>
          <w:rFonts w:ascii="Calibri" w:hAnsi="Calibri"/>
          <w:szCs w:val="22"/>
        </w:rPr>
      </w:pPr>
    </w:p>
    <w:p w14:paraId="65239666" w14:textId="77777777" w:rsidR="00CD5247" w:rsidRPr="00CD4C4F" w:rsidRDefault="00CD5247" w:rsidP="00165A01">
      <w:pPr>
        <w:pStyle w:val="BodyTextIndent"/>
        <w:tabs>
          <w:tab w:val="clear" w:pos="1134"/>
        </w:tabs>
        <w:spacing w:before="60" w:after="60" w:line="240" w:lineRule="auto"/>
        <w:ind w:left="0"/>
        <w:rPr>
          <w:rFonts w:ascii="Calibri" w:hAnsi="Calibri"/>
          <w:szCs w:val="22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954DDC" w:rsidRPr="0080017F" w14:paraId="37178C09" w14:textId="77777777" w:rsidTr="006F1E81">
        <w:trPr>
          <w:cantSplit/>
        </w:trPr>
        <w:tc>
          <w:tcPr>
            <w:tcW w:w="9464" w:type="dxa"/>
          </w:tcPr>
          <w:p w14:paraId="32385B69" w14:textId="2E11FBCA" w:rsidR="00954DDC" w:rsidRPr="00E566F8" w:rsidRDefault="00954DDC" w:rsidP="005D339B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78342F4C" w14:textId="77777777" w:rsidR="008F0DF2" w:rsidRPr="00780692" w:rsidRDefault="008F0DF2">
      <w:pPr>
        <w:rPr>
          <w:i/>
          <w:sz w:val="24"/>
          <w:szCs w:val="24"/>
        </w:rPr>
      </w:pPr>
      <w:r w:rsidRPr="00780692">
        <w:rPr>
          <w:i/>
          <w:sz w:val="22"/>
          <w:szCs w:val="22"/>
        </w:rPr>
        <w:t>The intent of this position description is to provide a representative summary of the major duties and responsibilities performed by staff in this job classification.  Staff Members may be requested to perform job-related tasks other than those specified.</w:t>
      </w:r>
    </w:p>
    <w:sectPr w:rsidR="008F0DF2" w:rsidRPr="00780692" w:rsidSect="0093527C">
      <w:footerReference w:type="default" r:id="rId8"/>
      <w:type w:val="continuous"/>
      <w:pgSz w:w="11906" w:h="16838" w:code="9"/>
      <w:pgMar w:top="1418" w:right="1133" w:bottom="1134" w:left="1418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DC44F" w14:textId="77777777" w:rsidR="000519E2" w:rsidRDefault="000519E2">
      <w:r>
        <w:separator/>
      </w:r>
    </w:p>
  </w:endnote>
  <w:endnote w:type="continuationSeparator" w:id="0">
    <w:p w14:paraId="3B615D01" w14:textId="77777777" w:rsidR="000519E2" w:rsidRDefault="0005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63511" w14:textId="65607E37" w:rsidR="00BC7DD8" w:rsidRPr="00F46B25" w:rsidRDefault="003E0CE2" w:rsidP="00F46B25">
    <w:pPr>
      <w:pStyle w:val="Footer"/>
      <w:spacing w:before="120"/>
      <w:rPr>
        <w:sz w:val="16"/>
      </w:rPr>
    </w:pPr>
    <w:r>
      <w:rPr>
        <w:noProof/>
        <w:snapToGrid w:val="0"/>
        <w:sz w:val="16"/>
        <w:lang w:val="en-NZ" w:eastAsia="en-NZ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9B4E18" wp14:editId="0F0F9DDA">
              <wp:simplePos x="0" y="0"/>
              <wp:positionH relativeFrom="page">
                <wp:posOffset>6761480</wp:posOffset>
              </wp:positionH>
              <wp:positionV relativeFrom="page">
                <wp:posOffset>9954260</wp:posOffset>
              </wp:positionV>
              <wp:extent cx="565785" cy="191770"/>
              <wp:effectExtent l="0" t="0" r="0" b="1778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277156" w14:textId="77777777" w:rsidR="00BC7DD8" w:rsidRDefault="00A733A0" w:rsidP="0008164C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31849B"/>
                            </w:rPr>
                          </w:pPr>
                          <w:r w:rsidRPr="0008164C">
                            <w:rPr>
                              <w:color w:val="31849B"/>
                            </w:rPr>
                            <w:fldChar w:fldCharType="begin"/>
                          </w:r>
                          <w:r w:rsidR="00BC7DD8" w:rsidRPr="0008164C">
                            <w:rPr>
                              <w:color w:val="31849B"/>
                            </w:rPr>
                            <w:instrText xml:space="preserve"> PAGE   \* MERGEFORMAT </w:instrText>
                          </w:r>
                          <w:r w:rsidRPr="0008164C">
                            <w:rPr>
                              <w:color w:val="31849B"/>
                            </w:rPr>
                            <w:fldChar w:fldCharType="separate"/>
                          </w:r>
                          <w:r w:rsidR="00DB126E">
                            <w:rPr>
                              <w:noProof/>
                              <w:color w:val="31849B"/>
                            </w:rPr>
                            <w:t>5</w:t>
                          </w:r>
                          <w:r w:rsidRPr="0008164C">
                            <w:rPr>
                              <w:color w:val="31849B"/>
                            </w:rPr>
                            <w:fldChar w:fldCharType="end"/>
                          </w:r>
                        </w:p>
                        <w:p w14:paraId="1502C9D9" w14:textId="77777777" w:rsidR="00404C98" w:rsidRPr="0008164C" w:rsidRDefault="00404C98" w:rsidP="0008164C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31849B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069B4E18" id="Rectangle 1" o:spid="_x0000_s1026" style="position:absolute;left:0;text-align:left;margin-left:532.4pt;margin-top:783.8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JwOTVeMAAAAPAQAADwAAAAAAAAAAAAAAAAA/BAAAZHJzL2Rvd25y&#10;ZXYueG1sUEsFBgAAAAAEAAQA8wAAAE8FAAAAAA==&#10;" filled="f" fillcolor="#c0504d" stroked="f" strokecolor="#4f81bd" strokeweight="2.25pt">
              <v:textbox inset=",0,,0">
                <w:txbxContent>
                  <w:p w14:paraId="65277156" w14:textId="77777777" w:rsidR="00BC7DD8" w:rsidRDefault="00A733A0" w:rsidP="0008164C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31849B"/>
                      </w:rPr>
                    </w:pPr>
                    <w:r w:rsidRPr="0008164C">
                      <w:rPr>
                        <w:color w:val="31849B"/>
                      </w:rPr>
                      <w:fldChar w:fldCharType="begin"/>
                    </w:r>
                    <w:r w:rsidR="00BC7DD8" w:rsidRPr="0008164C">
                      <w:rPr>
                        <w:color w:val="31849B"/>
                      </w:rPr>
                      <w:instrText xml:space="preserve"> PAGE   \* MERGEFORMAT </w:instrText>
                    </w:r>
                    <w:r w:rsidRPr="0008164C">
                      <w:rPr>
                        <w:color w:val="31849B"/>
                      </w:rPr>
                      <w:fldChar w:fldCharType="separate"/>
                    </w:r>
                    <w:r w:rsidR="00DB126E">
                      <w:rPr>
                        <w:noProof/>
                        <w:color w:val="31849B"/>
                      </w:rPr>
                      <w:t>5</w:t>
                    </w:r>
                    <w:r w:rsidRPr="0008164C">
                      <w:rPr>
                        <w:color w:val="31849B"/>
                      </w:rPr>
                      <w:fldChar w:fldCharType="end"/>
                    </w:r>
                  </w:p>
                  <w:p w14:paraId="1502C9D9" w14:textId="77777777" w:rsidR="00404C98" w:rsidRPr="0008164C" w:rsidRDefault="00404C98" w:rsidP="0008164C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31849B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404C98">
      <w:rPr>
        <w:sz w:val="16"/>
      </w:rPr>
      <w:t xml:space="preserve">POSITION DESCRIPTION – </w:t>
    </w:r>
    <w:r w:rsidR="00D712D4" w:rsidRPr="00D712D4">
      <w:rPr>
        <w:sz w:val="16"/>
      </w:rPr>
      <w:t>Clinical Service Framework Developer</w:t>
    </w:r>
    <w:r w:rsidR="00D712D4">
      <w:rPr>
        <w:sz w:val="16"/>
      </w:rPr>
      <w:t xml:space="preserve"> </w:t>
    </w:r>
    <w:r w:rsidR="00404C98">
      <w:rPr>
        <w:sz w:val="16"/>
      </w:rPr>
      <w:t xml:space="preserve">- updates </w:t>
    </w:r>
    <w:r w:rsidR="00D712D4">
      <w:rPr>
        <w:sz w:val="16"/>
      </w:rPr>
      <w:t>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1CC05" w14:textId="77777777" w:rsidR="000519E2" w:rsidRDefault="000519E2">
      <w:r>
        <w:separator/>
      </w:r>
    </w:p>
  </w:footnote>
  <w:footnote w:type="continuationSeparator" w:id="0">
    <w:p w14:paraId="6A976AA3" w14:textId="77777777" w:rsidR="000519E2" w:rsidRDefault="00051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566C1"/>
    <w:multiLevelType w:val="hybridMultilevel"/>
    <w:tmpl w:val="B5BCA104"/>
    <w:lvl w:ilvl="0" w:tplc="6DA601DA">
      <w:start w:val="1"/>
      <w:numFmt w:val="bullet"/>
      <w:pStyle w:val="Style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pacing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0412D"/>
    <w:multiLevelType w:val="hybridMultilevel"/>
    <w:tmpl w:val="43EC29B4"/>
    <w:lvl w:ilvl="0" w:tplc="F510FE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1849B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14C7C"/>
    <w:multiLevelType w:val="hybridMultilevel"/>
    <w:tmpl w:val="03901F68"/>
    <w:lvl w:ilvl="0" w:tplc="F510FE58">
      <w:start w:val="1"/>
      <w:numFmt w:val="bullet"/>
      <w:lvlText w:val=""/>
      <w:lvlJc w:val="left"/>
      <w:pPr>
        <w:ind w:left="1071" w:hanging="360"/>
      </w:pPr>
      <w:rPr>
        <w:rFonts w:ascii="Wingdings" w:hAnsi="Wingdings" w:hint="default"/>
        <w:color w:val="31849B"/>
        <w:sz w:val="22"/>
      </w:rPr>
    </w:lvl>
    <w:lvl w:ilvl="1" w:tplc="1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" w15:restartNumberingAfterBreak="0">
    <w:nsid w:val="0BF72423"/>
    <w:multiLevelType w:val="multilevel"/>
    <w:tmpl w:val="25FEDD3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"/>
      <w:lvlJc w:val="left"/>
      <w:pPr>
        <w:ind w:left="1058" w:hanging="338"/>
      </w:pPr>
      <w:rPr>
        <w:rFonts w:ascii="Wingdings" w:hAnsi="Wingdings" w:hint="default"/>
        <w:color w:val="auto"/>
        <w:sz w:val="22"/>
      </w:rPr>
    </w:lvl>
    <w:lvl w:ilvl="2">
      <w:start w:val="1"/>
      <w:numFmt w:val="lowerRoman"/>
      <w:lvlText w:val="%3."/>
      <w:lvlJc w:val="right"/>
      <w:pPr>
        <w:ind w:left="1625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0D176080"/>
    <w:multiLevelType w:val="hybridMultilevel"/>
    <w:tmpl w:val="BB925B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07602"/>
    <w:multiLevelType w:val="hybridMultilevel"/>
    <w:tmpl w:val="E186532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FC4318"/>
    <w:multiLevelType w:val="hybridMultilevel"/>
    <w:tmpl w:val="6E8EC75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B45428"/>
    <w:multiLevelType w:val="hybridMultilevel"/>
    <w:tmpl w:val="820809D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C57B5B"/>
    <w:multiLevelType w:val="hybridMultilevel"/>
    <w:tmpl w:val="3254382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CC7654"/>
    <w:multiLevelType w:val="hybridMultilevel"/>
    <w:tmpl w:val="F11E9F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142F1"/>
    <w:multiLevelType w:val="hybridMultilevel"/>
    <w:tmpl w:val="5E183E0E"/>
    <w:lvl w:ilvl="0" w:tplc="F510FE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1849B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95FFF"/>
    <w:multiLevelType w:val="hybridMultilevel"/>
    <w:tmpl w:val="7D2452B6"/>
    <w:lvl w:ilvl="0" w:tplc="F510FE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1849B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91ED9"/>
    <w:multiLevelType w:val="hybridMultilevel"/>
    <w:tmpl w:val="4F502D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A577F"/>
    <w:multiLevelType w:val="hybridMultilevel"/>
    <w:tmpl w:val="B79EAE3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3D3FFD"/>
    <w:multiLevelType w:val="hybridMultilevel"/>
    <w:tmpl w:val="2FE00564"/>
    <w:lvl w:ilvl="0" w:tplc="F510FE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1849B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C086C"/>
    <w:multiLevelType w:val="hybridMultilevel"/>
    <w:tmpl w:val="8812B87C"/>
    <w:lvl w:ilvl="0" w:tplc="F510FE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1849B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E0023"/>
    <w:multiLevelType w:val="hybridMultilevel"/>
    <w:tmpl w:val="FEC8EADA"/>
    <w:lvl w:ilvl="0" w:tplc="5DBC7E6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620D6"/>
    <w:multiLevelType w:val="hybridMultilevel"/>
    <w:tmpl w:val="F5AA43D0"/>
    <w:lvl w:ilvl="0" w:tplc="F510FE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1849B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A0A42"/>
    <w:multiLevelType w:val="hybridMultilevel"/>
    <w:tmpl w:val="75BE5B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E59B7"/>
    <w:multiLevelType w:val="hybridMultilevel"/>
    <w:tmpl w:val="37E60230"/>
    <w:lvl w:ilvl="0" w:tplc="F510FE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1849B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A0610"/>
    <w:multiLevelType w:val="hybridMultilevel"/>
    <w:tmpl w:val="AC40C272"/>
    <w:lvl w:ilvl="0" w:tplc="F510FE5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1849B"/>
        <w:sz w:val="22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4639857">
    <w:abstractNumId w:val="14"/>
  </w:num>
  <w:num w:numId="2" w16cid:durableId="783157942">
    <w:abstractNumId w:val="11"/>
  </w:num>
  <w:num w:numId="3" w16cid:durableId="1059979287">
    <w:abstractNumId w:val="16"/>
  </w:num>
  <w:num w:numId="4" w16cid:durableId="898635513">
    <w:abstractNumId w:val="0"/>
  </w:num>
  <w:num w:numId="5" w16cid:durableId="2038191570">
    <w:abstractNumId w:val="12"/>
  </w:num>
  <w:num w:numId="6" w16cid:durableId="1420443121">
    <w:abstractNumId w:val="19"/>
  </w:num>
  <w:num w:numId="7" w16cid:durableId="1348629864">
    <w:abstractNumId w:val="1"/>
  </w:num>
  <w:num w:numId="8" w16cid:durableId="1512795748">
    <w:abstractNumId w:val="15"/>
  </w:num>
  <w:num w:numId="9" w16cid:durableId="1402941786">
    <w:abstractNumId w:val="20"/>
  </w:num>
  <w:num w:numId="10" w16cid:durableId="695809745">
    <w:abstractNumId w:val="17"/>
  </w:num>
  <w:num w:numId="11" w16cid:durableId="1358702580">
    <w:abstractNumId w:val="7"/>
  </w:num>
  <w:num w:numId="12" w16cid:durableId="1299141139">
    <w:abstractNumId w:val="4"/>
  </w:num>
  <w:num w:numId="13" w16cid:durableId="1600747409">
    <w:abstractNumId w:val="5"/>
  </w:num>
  <w:num w:numId="14" w16cid:durableId="17005207">
    <w:abstractNumId w:val="13"/>
  </w:num>
  <w:num w:numId="15" w16cid:durableId="2087724345">
    <w:abstractNumId w:val="6"/>
  </w:num>
  <w:num w:numId="16" w16cid:durableId="1634745961">
    <w:abstractNumId w:val="3"/>
  </w:num>
  <w:num w:numId="17" w16cid:durableId="1024552949">
    <w:abstractNumId w:val="9"/>
  </w:num>
  <w:num w:numId="18" w16cid:durableId="313216114">
    <w:abstractNumId w:val="8"/>
  </w:num>
  <w:num w:numId="19" w16cid:durableId="1884442996">
    <w:abstractNumId w:val="18"/>
  </w:num>
  <w:num w:numId="20" w16cid:durableId="1268389558">
    <w:abstractNumId w:val="10"/>
  </w:num>
  <w:num w:numId="21" w16cid:durableId="882600065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A34"/>
    <w:rsid w:val="00007D89"/>
    <w:rsid w:val="00011D19"/>
    <w:rsid w:val="00011D85"/>
    <w:rsid w:val="00026974"/>
    <w:rsid w:val="00041100"/>
    <w:rsid w:val="000452DC"/>
    <w:rsid w:val="000519E2"/>
    <w:rsid w:val="0008164C"/>
    <w:rsid w:val="00093020"/>
    <w:rsid w:val="00093BBA"/>
    <w:rsid w:val="000A1A4D"/>
    <w:rsid w:val="000A1FD7"/>
    <w:rsid w:val="000A452F"/>
    <w:rsid w:val="000A6C9F"/>
    <w:rsid w:val="000B2FF9"/>
    <w:rsid w:val="000B306D"/>
    <w:rsid w:val="000C199B"/>
    <w:rsid w:val="000C2F1F"/>
    <w:rsid w:val="000C525D"/>
    <w:rsid w:val="000D6990"/>
    <w:rsid w:val="000E1B01"/>
    <w:rsid w:val="000E408C"/>
    <w:rsid w:val="000F3F4C"/>
    <w:rsid w:val="00121CC6"/>
    <w:rsid w:val="001279B6"/>
    <w:rsid w:val="00140326"/>
    <w:rsid w:val="00140A40"/>
    <w:rsid w:val="00153909"/>
    <w:rsid w:val="00154A91"/>
    <w:rsid w:val="00155A0B"/>
    <w:rsid w:val="00155A24"/>
    <w:rsid w:val="00160F98"/>
    <w:rsid w:val="00162CED"/>
    <w:rsid w:val="00164F8E"/>
    <w:rsid w:val="00165A01"/>
    <w:rsid w:val="00166135"/>
    <w:rsid w:val="001720D5"/>
    <w:rsid w:val="00172452"/>
    <w:rsid w:val="00173ADB"/>
    <w:rsid w:val="001A7D9E"/>
    <w:rsid w:val="001B2C42"/>
    <w:rsid w:val="001C11BE"/>
    <w:rsid w:val="001C1908"/>
    <w:rsid w:val="001E19B3"/>
    <w:rsid w:val="001F6242"/>
    <w:rsid w:val="001F72A7"/>
    <w:rsid w:val="0020309B"/>
    <w:rsid w:val="002102CC"/>
    <w:rsid w:val="0022002C"/>
    <w:rsid w:val="0022118A"/>
    <w:rsid w:val="00232677"/>
    <w:rsid w:val="0023628C"/>
    <w:rsid w:val="0024271A"/>
    <w:rsid w:val="00244485"/>
    <w:rsid w:val="00247C2C"/>
    <w:rsid w:val="002530D4"/>
    <w:rsid w:val="00262260"/>
    <w:rsid w:val="00263475"/>
    <w:rsid w:val="002663F1"/>
    <w:rsid w:val="00266A8C"/>
    <w:rsid w:val="002679BD"/>
    <w:rsid w:val="00270896"/>
    <w:rsid w:val="00273609"/>
    <w:rsid w:val="0027710A"/>
    <w:rsid w:val="002802BA"/>
    <w:rsid w:val="002832B4"/>
    <w:rsid w:val="00293ED5"/>
    <w:rsid w:val="00295E9B"/>
    <w:rsid w:val="002972E9"/>
    <w:rsid w:val="002A61EE"/>
    <w:rsid w:val="002B4D73"/>
    <w:rsid w:val="002B6157"/>
    <w:rsid w:val="002D6581"/>
    <w:rsid w:val="002E00F2"/>
    <w:rsid w:val="002E2395"/>
    <w:rsid w:val="002E7353"/>
    <w:rsid w:val="00304861"/>
    <w:rsid w:val="003140AD"/>
    <w:rsid w:val="00316387"/>
    <w:rsid w:val="0032197B"/>
    <w:rsid w:val="00323DFC"/>
    <w:rsid w:val="00336065"/>
    <w:rsid w:val="003376F6"/>
    <w:rsid w:val="00342197"/>
    <w:rsid w:val="003456BA"/>
    <w:rsid w:val="003545F2"/>
    <w:rsid w:val="00356B87"/>
    <w:rsid w:val="003A0F07"/>
    <w:rsid w:val="003A2BC4"/>
    <w:rsid w:val="003A3DB2"/>
    <w:rsid w:val="003A422C"/>
    <w:rsid w:val="003A55AC"/>
    <w:rsid w:val="003E0CE2"/>
    <w:rsid w:val="003F0931"/>
    <w:rsid w:val="003F1864"/>
    <w:rsid w:val="00404C98"/>
    <w:rsid w:val="004073D3"/>
    <w:rsid w:val="004145ED"/>
    <w:rsid w:val="00440B36"/>
    <w:rsid w:val="00446B76"/>
    <w:rsid w:val="00455FCC"/>
    <w:rsid w:val="00457FDA"/>
    <w:rsid w:val="004670F3"/>
    <w:rsid w:val="0046761B"/>
    <w:rsid w:val="00482327"/>
    <w:rsid w:val="00486905"/>
    <w:rsid w:val="004959BA"/>
    <w:rsid w:val="004A1A34"/>
    <w:rsid w:val="004B1AC6"/>
    <w:rsid w:val="004B25F5"/>
    <w:rsid w:val="004B5E53"/>
    <w:rsid w:val="004C0F93"/>
    <w:rsid w:val="004D1288"/>
    <w:rsid w:val="004D1C28"/>
    <w:rsid w:val="004D20B8"/>
    <w:rsid w:val="004D3130"/>
    <w:rsid w:val="004E242B"/>
    <w:rsid w:val="004E777F"/>
    <w:rsid w:val="00531171"/>
    <w:rsid w:val="00553774"/>
    <w:rsid w:val="00560A88"/>
    <w:rsid w:val="005734AE"/>
    <w:rsid w:val="00585E87"/>
    <w:rsid w:val="00585FFE"/>
    <w:rsid w:val="005A518E"/>
    <w:rsid w:val="005B5836"/>
    <w:rsid w:val="005C1C19"/>
    <w:rsid w:val="005D1EE9"/>
    <w:rsid w:val="005D22FF"/>
    <w:rsid w:val="005D339B"/>
    <w:rsid w:val="005D6895"/>
    <w:rsid w:val="005E0216"/>
    <w:rsid w:val="005E2000"/>
    <w:rsid w:val="005E49B1"/>
    <w:rsid w:val="005E72E8"/>
    <w:rsid w:val="005F463D"/>
    <w:rsid w:val="00607369"/>
    <w:rsid w:val="00614479"/>
    <w:rsid w:val="00624B31"/>
    <w:rsid w:val="00626589"/>
    <w:rsid w:val="00633013"/>
    <w:rsid w:val="006806AF"/>
    <w:rsid w:val="00694859"/>
    <w:rsid w:val="006A09C3"/>
    <w:rsid w:val="006A1FD1"/>
    <w:rsid w:val="006B6B15"/>
    <w:rsid w:val="006C3FFC"/>
    <w:rsid w:val="006E5E7E"/>
    <w:rsid w:val="006E6D15"/>
    <w:rsid w:val="006E720D"/>
    <w:rsid w:val="006F0A3B"/>
    <w:rsid w:val="006F1E81"/>
    <w:rsid w:val="00700BC3"/>
    <w:rsid w:val="007210B2"/>
    <w:rsid w:val="00733D53"/>
    <w:rsid w:val="00734929"/>
    <w:rsid w:val="00753C83"/>
    <w:rsid w:val="00753DBE"/>
    <w:rsid w:val="0075576B"/>
    <w:rsid w:val="00760047"/>
    <w:rsid w:val="00761DAE"/>
    <w:rsid w:val="007626F1"/>
    <w:rsid w:val="00770226"/>
    <w:rsid w:val="00776A02"/>
    <w:rsid w:val="00780692"/>
    <w:rsid w:val="00792ACA"/>
    <w:rsid w:val="007B0031"/>
    <w:rsid w:val="007B5B60"/>
    <w:rsid w:val="007C4744"/>
    <w:rsid w:val="007C4A42"/>
    <w:rsid w:val="007D4F7A"/>
    <w:rsid w:val="007D69A3"/>
    <w:rsid w:val="007F201B"/>
    <w:rsid w:val="007F249B"/>
    <w:rsid w:val="007F720A"/>
    <w:rsid w:val="0080017F"/>
    <w:rsid w:val="00806311"/>
    <w:rsid w:val="00813D50"/>
    <w:rsid w:val="0082692E"/>
    <w:rsid w:val="008271AE"/>
    <w:rsid w:val="008477E9"/>
    <w:rsid w:val="00853019"/>
    <w:rsid w:val="00854833"/>
    <w:rsid w:val="00867DAD"/>
    <w:rsid w:val="008825A9"/>
    <w:rsid w:val="00887300"/>
    <w:rsid w:val="008A07AA"/>
    <w:rsid w:val="008B46CD"/>
    <w:rsid w:val="008B7BA6"/>
    <w:rsid w:val="008C1169"/>
    <w:rsid w:val="008D47C5"/>
    <w:rsid w:val="008E07E8"/>
    <w:rsid w:val="008E444E"/>
    <w:rsid w:val="008E5A90"/>
    <w:rsid w:val="008F0DF2"/>
    <w:rsid w:val="009119EE"/>
    <w:rsid w:val="00920EA8"/>
    <w:rsid w:val="0092287B"/>
    <w:rsid w:val="00926C73"/>
    <w:rsid w:val="00932B6A"/>
    <w:rsid w:val="0093527C"/>
    <w:rsid w:val="00940D09"/>
    <w:rsid w:val="00943C7D"/>
    <w:rsid w:val="009472A4"/>
    <w:rsid w:val="009521D3"/>
    <w:rsid w:val="00952675"/>
    <w:rsid w:val="00954DDC"/>
    <w:rsid w:val="00966DAA"/>
    <w:rsid w:val="00970FB9"/>
    <w:rsid w:val="00982738"/>
    <w:rsid w:val="00994816"/>
    <w:rsid w:val="009A35A4"/>
    <w:rsid w:val="009A7405"/>
    <w:rsid w:val="009B0B54"/>
    <w:rsid w:val="009B113D"/>
    <w:rsid w:val="009B191F"/>
    <w:rsid w:val="009B49C5"/>
    <w:rsid w:val="009C146B"/>
    <w:rsid w:val="009C3C42"/>
    <w:rsid w:val="009C52E2"/>
    <w:rsid w:val="009D06E0"/>
    <w:rsid w:val="009D3C5C"/>
    <w:rsid w:val="009D76BE"/>
    <w:rsid w:val="009E0CCB"/>
    <w:rsid w:val="009E34BF"/>
    <w:rsid w:val="00A04814"/>
    <w:rsid w:val="00A32564"/>
    <w:rsid w:val="00A5290A"/>
    <w:rsid w:val="00A574C2"/>
    <w:rsid w:val="00A733A0"/>
    <w:rsid w:val="00A7684B"/>
    <w:rsid w:val="00A91CAF"/>
    <w:rsid w:val="00AA2522"/>
    <w:rsid w:val="00AC7212"/>
    <w:rsid w:val="00AF1A62"/>
    <w:rsid w:val="00AF5F1A"/>
    <w:rsid w:val="00B218BB"/>
    <w:rsid w:val="00B24EE0"/>
    <w:rsid w:val="00B35B7D"/>
    <w:rsid w:val="00B40A9D"/>
    <w:rsid w:val="00B678B8"/>
    <w:rsid w:val="00B763FA"/>
    <w:rsid w:val="00B82A42"/>
    <w:rsid w:val="00B82BD7"/>
    <w:rsid w:val="00BA0E0A"/>
    <w:rsid w:val="00BA1664"/>
    <w:rsid w:val="00BC6A16"/>
    <w:rsid w:val="00BC7DD8"/>
    <w:rsid w:val="00BD36FF"/>
    <w:rsid w:val="00BD561D"/>
    <w:rsid w:val="00BE3031"/>
    <w:rsid w:val="00BE3B55"/>
    <w:rsid w:val="00BE744D"/>
    <w:rsid w:val="00BE74B0"/>
    <w:rsid w:val="00BF5978"/>
    <w:rsid w:val="00C067E1"/>
    <w:rsid w:val="00C2406B"/>
    <w:rsid w:val="00C34D3C"/>
    <w:rsid w:val="00C3653F"/>
    <w:rsid w:val="00C37938"/>
    <w:rsid w:val="00C408A4"/>
    <w:rsid w:val="00C4704E"/>
    <w:rsid w:val="00C56A20"/>
    <w:rsid w:val="00C61855"/>
    <w:rsid w:val="00C72581"/>
    <w:rsid w:val="00C7628C"/>
    <w:rsid w:val="00C921EB"/>
    <w:rsid w:val="00CA3994"/>
    <w:rsid w:val="00CA7AB5"/>
    <w:rsid w:val="00CB7B77"/>
    <w:rsid w:val="00CD4C4F"/>
    <w:rsid w:val="00CD5247"/>
    <w:rsid w:val="00CF3EE9"/>
    <w:rsid w:val="00D05DFF"/>
    <w:rsid w:val="00D1737F"/>
    <w:rsid w:val="00D2293A"/>
    <w:rsid w:val="00D23CD3"/>
    <w:rsid w:val="00D24FCF"/>
    <w:rsid w:val="00D33C20"/>
    <w:rsid w:val="00D4374E"/>
    <w:rsid w:val="00D47EC9"/>
    <w:rsid w:val="00D6020E"/>
    <w:rsid w:val="00D712D4"/>
    <w:rsid w:val="00D73C08"/>
    <w:rsid w:val="00D75CD7"/>
    <w:rsid w:val="00D81B8A"/>
    <w:rsid w:val="00D83ED2"/>
    <w:rsid w:val="00DA6BD5"/>
    <w:rsid w:val="00DB126E"/>
    <w:rsid w:val="00DC0E1D"/>
    <w:rsid w:val="00DD349C"/>
    <w:rsid w:val="00DE1A20"/>
    <w:rsid w:val="00DE4BF7"/>
    <w:rsid w:val="00DF5E45"/>
    <w:rsid w:val="00DF6000"/>
    <w:rsid w:val="00DF6BE8"/>
    <w:rsid w:val="00E106F7"/>
    <w:rsid w:val="00E13C1E"/>
    <w:rsid w:val="00E20841"/>
    <w:rsid w:val="00E214D5"/>
    <w:rsid w:val="00E21605"/>
    <w:rsid w:val="00E232DA"/>
    <w:rsid w:val="00E36E8B"/>
    <w:rsid w:val="00E414FD"/>
    <w:rsid w:val="00E46E10"/>
    <w:rsid w:val="00E566F8"/>
    <w:rsid w:val="00E651B0"/>
    <w:rsid w:val="00E6611C"/>
    <w:rsid w:val="00E77E47"/>
    <w:rsid w:val="00E84D18"/>
    <w:rsid w:val="00E855A9"/>
    <w:rsid w:val="00E963E9"/>
    <w:rsid w:val="00EB1202"/>
    <w:rsid w:val="00EB5B7E"/>
    <w:rsid w:val="00EC3A51"/>
    <w:rsid w:val="00EC6246"/>
    <w:rsid w:val="00EC6432"/>
    <w:rsid w:val="00EE42BF"/>
    <w:rsid w:val="00EE67C4"/>
    <w:rsid w:val="00F01F69"/>
    <w:rsid w:val="00F02DE9"/>
    <w:rsid w:val="00F03906"/>
    <w:rsid w:val="00F1090B"/>
    <w:rsid w:val="00F17F3D"/>
    <w:rsid w:val="00F31BDA"/>
    <w:rsid w:val="00F31DEA"/>
    <w:rsid w:val="00F35A63"/>
    <w:rsid w:val="00F37C6A"/>
    <w:rsid w:val="00F403FE"/>
    <w:rsid w:val="00F420CC"/>
    <w:rsid w:val="00F46B25"/>
    <w:rsid w:val="00F47DC5"/>
    <w:rsid w:val="00F705B1"/>
    <w:rsid w:val="00F7220D"/>
    <w:rsid w:val="00F748E6"/>
    <w:rsid w:val="00F84D5A"/>
    <w:rsid w:val="00F91CCB"/>
    <w:rsid w:val="00FA3868"/>
    <w:rsid w:val="00FA6177"/>
    <w:rsid w:val="00FB4C4B"/>
    <w:rsid w:val="00FB7911"/>
    <w:rsid w:val="00FB7916"/>
    <w:rsid w:val="00FD3E3E"/>
    <w:rsid w:val="00FD590C"/>
    <w:rsid w:val="00FD7872"/>
    <w:rsid w:val="00FE03AA"/>
    <w:rsid w:val="00FF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C2ACB8"/>
  <w15:docId w15:val="{DBE67AAA-1C89-4219-AA44-99846B62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3994"/>
    <w:pPr>
      <w:spacing w:after="200" w:line="276" w:lineRule="auto"/>
      <w:jc w:val="both"/>
    </w:pPr>
    <w:rPr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99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399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A399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99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3994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994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994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994"/>
    <w:p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994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69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697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26974"/>
    <w:rPr>
      <w:sz w:val="24"/>
    </w:rPr>
  </w:style>
  <w:style w:type="paragraph" w:styleId="BodyTextIndent">
    <w:name w:val="Body Text Indent"/>
    <w:basedOn w:val="Normal"/>
    <w:rsid w:val="00026974"/>
    <w:pPr>
      <w:tabs>
        <w:tab w:val="left" w:pos="1134"/>
      </w:tabs>
      <w:ind w:left="720"/>
    </w:pPr>
    <w:rPr>
      <w:rFonts w:ascii="Arial" w:hAnsi="Arial"/>
      <w:sz w:val="22"/>
    </w:rPr>
  </w:style>
  <w:style w:type="paragraph" w:styleId="BodyText3">
    <w:name w:val="Body Text 3"/>
    <w:basedOn w:val="Normal"/>
    <w:rsid w:val="00026974"/>
    <w:rPr>
      <w:rFonts w:ascii="Arial" w:hAnsi="Arial"/>
      <w:sz w:val="22"/>
    </w:rPr>
  </w:style>
  <w:style w:type="paragraph" w:styleId="BodyText2">
    <w:name w:val="Body Text 2"/>
    <w:basedOn w:val="Normal"/>
    <w:rsid w:val="00026974"/>
    <w:rPr>
      <w:rFonts w:ascii="Arial" w:hAnsi="Arial"/>
      <w:b/>
      <w:sz w:val="22"/>
    </w:rPr>
  </w:style>
  <w:style w:type="paragraph" w:styleId="BalloonText">
    <w:name w:val="Balloon Text"/>
    <w:basedOn w:val="Normal"/>
    <w:semiHidden/>
    <w:rsid w:val="0023628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A3994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3994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A3994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994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A3994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994"/>
    <w:rPr>
      <w:smallCaps/>
      <w:color w:val="C0504D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994"/>
    <w:rPr>
      <w:b/>
      <w:smallCaps/>
      <w:color w:val="C0504D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994"/>
    <w:rPr>
      <w:b/>
      <w:i/>
      <w:smallCaps/>
      <w:color w:val="94363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994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A3994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A3994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A3994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994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A3994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CA3994"/>
    <w:rPr>
      <w:b/>
      <w:color w:val="C0504D"/>
    </w:rPr>
  </w:style>
  <w:style w:type="character" w:styleId="Emphasis">
    <w:name w:val="Emphasis"/>
    <w:uiPriority w:val="20"/>
    <w:qFormat/>
    <w:rsid w:val="00CA3994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CA399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A3994"/>
  </w:style>
  <w:style w:type="paragraph" w:styleId="ListParagraph">
    <w:name w:val="List Paragraph"/>
    <w:basedOn w:val="Normal"/>
    <w:uiPriority w:val="34"/>
    <w:qFormat/>
    <w:rsid w:val="00CA399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A399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A3994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3994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3994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CA3994"/>
    <w:rPr>
      <w:i/>
    </w:rPr>
  </w:style>
  <w:style w:type="character" w:styleId="IntenseEmphasis">
    <w:name w:val="Intense Emphasis"/>
    <w:uiPriority w:val="21"/>
    <w:qFormat/>
    <w:rsid w:val="00CA3994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CA3994"/>
    <w:rPr>
      <w:b/>
    </w:rPr>
  </w:style>
  <w:style w:type="character" w:styleId="IntenseReference">
    <w:name w:val="Intense Reference"/>
    <w:uiPriority w:val="32"/>
    <w:qFormat/>
    <w:rsid w:val="00CA3994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CA3994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3994"/>
    <w:pPr>
      <w:outlineLvl w:val="9"/>
    </w:pPr>
  </w:style>
  <w:style w:type="paragraph" w:customStyle="1" w:styleId="Style3">
    <w:name w:val="Style3"/>
    <w:basedOn w:val="Normal"/>
    <w:rsid w:val="0024271A"/>
    <w:pPr>
      <w:numPr>
        <w:numId w:val="4"/>
      </w:numPr>
      <w:spacing w:after="0" w:line="240" w:lineRule="auto"/>
      <w:jc w:val="left"/>
    </w:pPr>
    <w:rPr>
      <w:rFonts w:ascii="Arial" w:hAnsi="Arial"/>
      <w:sz w:val="22"/>
      <w:lang w:val="en-GB" w:bidi="ar-SA"/>
    </w:rPr>
  </w:style>
  <w:style w:type="character" w:styleId="CommentReference">
    <w:name w:val="annotation reference"/>
    <w:basedOn w:val="DefaultParagraphFont"/>
    <w:rsid w:val="00C34D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4D3C"/>
  </w:style>
  <w:style w:type="character" w:customStyle="1" w:styleId="CommentTextChar">
    <w:name w:val="Comment Text Char"/>
    <w:basedOn w:val="DefaultParagraphFont"/>
    <w:link w:val="CommentText"/>
    <w:rsid w:val="00C34D3C"/>
    <w:rPr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rsid w:val="00C34D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34D3C"/>
    <w:rPr>
      <w:b/>
      <w:bCs/>
      <w:lang w:val="en-US" w:eastAsia="en-US" w:bidi="en-US"/>
    </w:rPr>
  </w:style>
  <w:style w:type="table" w:styleId="TableGrid">
    <w:name w:val="Table Grid"/>
    <w:basedOn w:val="TableNormal"/>
    <w:uiPriority w:val="39"/>
    <w:rsid w:val="006E5E7E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rsid w:val="00155A0B"/>
    <w:pPr>
      <w:spacing w:before="80" w:after="80" w:line="240" w:lineRule="auto"/>
      <w:jc w:val="left"/>
    </w:pPr>
    <w:rPr>
      <w:rFonts w:ascii="Arial" w:hAnsi="Arial" w:cs="Angsana New"/>
      <w:szCs w:val="24"/>
      <w:lang w:val="en-NZ" w:bidi="th-TH"/>
    </w:rPr>
  </w:style>
  <w:style w:type="paragraph" w:styleId="Revision">
    <w:name w:val="Revision"/>
    <w:hidden/>
    <w:uiPriority w:val="99"/>
    <w:semiHidden/>
    <w:rsid w:val="006E6D15"/>
    <w:rPr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8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0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80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8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40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43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B3F89-7FA9-4DB7-ABAC-72EBF5FD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1137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</vt:lpstr>
    </vt:vector>
  </TitlesOfParts>
  <Company>Health Funding Authority</Company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</dc:title>
  <dc:creator>Sharryn Jennifer Sunbeam</dc:creator>
  <cp:lastModifiedBy>Lily Simons</cp:lastModifiedBy>
  <cp:revision>2</cp:revision>
  <cp:lastPrinted>2025-07-17T23:10:00Z</cp:lastPrinted>
  <dcterms:created xsi:type="dcterms:W3CDTF">2025-08-04T03:28:00Z</dcterms:created>
  <dcterms:modified xsi:type="dcterms:W3CDTF">2025-08-04T03:28:00Z</dcterms:modified>
</cp:coreProperties>
</file>