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FD4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Te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4351B966" w14:textId="77777777"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651"/>
        <w:gridCol w:w="1116"/>
        <w:gridCol w:w="2022"/>
        <w:gridCol w:w="2585"/>
      </w:tblGrid>
      <w:tr w:rsidR="00FC3FD6" w:rsidRPr="002C4DDC" w14:paraId="5358C011" w14:textId="77777777" w:rsidTr="703BC511">
        <w:tc>
          <w:tcPr>
            <w:tcW w:w="2376" w:type="dxa"/>
          </w:tcPr>
          <w:p w14:paraId="31425F2A" w14:textId="77777777" w:rsidR="005C4D1E" w:rsidRPr="00A139D2" w:rsidRDefault="005C4D1E" w:rsidP="002445E0">
            <w:pPr>
              <w:pStyle w:val="Heading2"/>
              <w:rPr>
                <w:rFonts w:ascii="Arial" w:hAnsi="Arial" w:cs="Arial"/>
                <w:caps w:val="0"/>
                <w:color w:val="15284C"/>
                <w:sz w:val="24"/>
              </w:rPr>
            </w:pPr>
            <w:r w:rsidRPr="00A139D2">
              <w:rPr>
                <w:rFonts w:ascii="Arial" w:hAnsi="Arial" w:cs="Arial"/>
                <w:caps w:val="0"/>
                <w:color w:val="15284C"/>
                <w:sz w:val="24"/>
              </w:rPr>
              <w:t>Title</w:t>
            </w:r>
          </w:p>
        </w:tc>
        <w:tc>
          <w:tcPr>
            <w:tcW w:w="6838" w:type="dxa"/>
            <w:gridSpan w:val="5"/>
          </w:tcPr>
          <w:p w14:paraId="5A499151" w14:textId="77777777" w:rsidR="005C4D1E" w:rsidRPr="00A139D2" w:rsidRDefault="00A139D2" w:rsidP="703BC511">
            <w:pPr>
              <w:pStyle w:val="NoSpacing"/>
              <w:rPr>
                <w:rFonts w:ascii="Arial" w:hAnsi="Arial" w:cs="Arial"/>
                <w:sz w:val="22"/>
                <w:lang w:val="en-GB"/>
              </w:rPr>
            </w:pPr>
            <w:r w:rsidRPr="00A139D2">
              <w:rPr>
                <w:rFonts w:ascii="Arial" w:hAnsi="Arial" w:cs="Arial"/>
                <w:sz w:val="22"/>
                <w:lang w:val="en-GB"/>
              </w:rPr>
              <w:t>General Physician</w:t>
            </w:r>
          </w:p>
        </w:tc>
      </w:tr>
      <w:tr w:rsidR="00FC3FD6" w:rsidRPr="002C4DDC" w14:paraId="01B8D9F0" w14:textId="77777777" w:rsidTr="703BC511">
        <w:tc>
          <w:tcPr>
            <w:tcW w:w="2376" w:type="dxa"/>
          </w:tcPr>
          <w:p w14:paraId="0ECD3EBF" w14:textId="77777777" w:rsidR="005C4D1E" w:rsidRPr="00A139D2" w:rsidRDefault="005C4D1E" w:rsidP="002445E0">
            <w:pPr>
              <w:pStyle w:val="Heading2"/>
              <w:rPr>
                <w:rFonts w:ascii="Arial" w:hAnsi="Arial" w:cs="Arial"/>
                <w:caps w:val="0"/>
                <w:color w:val="15284C"/>
                <w:sz w:val="24"/>
              </w:rPr>
            </w:pPr>
            <w:r w:rsidRPr="00A139D2">
              <w:rPr>
                <w:rFonts w:ascii="Arial" w:hAnsi="Arial" w:cs="Arial"/>
                <w:caps w:val="0"/>
                <w:color w:val="15284C"/>
                <w:sz w:val="24"/>
              </w:rPr>
              <w:t>Reports to</w:t>
            </w:r>
          </w:p>
        </w:tc>
        <w:tc>
          <w:tcPr>
            <w:tcW w:w="6838" w:type="dxa"/>
            <w:gridSpan w:val="5"/>
          </w:tcPr>
          <w:p w14:paraId="72ECCE72" w14:textId="77777777" w:rsidR="005C4D1E" w:rsidRPr="00A139D2" w:rsidRDefault="00A139D2" w:rsidP="002445E0">
            <w:pPr>
              <w:pStyle w:val="NoSpacing"/>
              <w:rPr>
                <w:rFonts w:ascii="Arial" w:hAnsi="Arial" w:cs="Arial"/>
                <w:color w:val="15284C"/>
                <w:sz w:val="22"/>
              </w:rPr>
            </w:pPr>
            <w:r w:rsidRPr="00A139D2">
              <w:rPr>
                <w:rFonts w:ascii="Arial" w:hAnsi="Arial" w:cs="Arial"/>
                <w:color w:val="15284C"/>
                <w:sz w:val="22"/>
              </w:rPr>
              <w:t>Clinical Director General Medicine, Service Manager Gen Med.</w:t>
            </w:r>
          </w:p>
        </w:tc>
      </w:tr>
      <w:tr w:rsidR="00FC3FD6" w:rsidRPr="002C4DDC" w14:paraId="5603D6BA" w14:textId="77777777" w:rsidTr="703BC511">
        <w:tc>
          <w:tcPr>
            <w:tcW w:w="2376" w:type="dxa"/>
          </w:tcPr>
          <w:p w14:paraId="2B8D7CAB" w14:textId="77777777" w:rsidR="005C4D1E" w:rsidRPr="00A139D2" w:rsidRDefault="005C4D1E" w:rsidP="002445E0">
            <w:pPr>
              <w:pStyle w:val="Heading2"/>
              <w:rPr>
                <w:rFonts w:ascii="Arial" w:hAnsi="Arial" w:cs="Arial"/>
                <w:caps w:val="0"/>
                <w:color w:val="15284C"/>
                <w:sz w:val="24"/>
              </w:rPr>
            </w:pPr>
            <w:r w:rsidRPr="00A139D2">
              <w:rPr>
                <w:rFonts w:ascii="Arial" w:hAnsi="Arial" w:cs="Arial"/>
                <w:caps w:val="0"/>
                <w:color w:val="15284C"/>
                <w:sz w:val="24"/>
              </w:rPr>
              <w:t>Location</w:t>
            </w:r>
          </w:p>
        </w:tc>
        <w:tc>
          <w:tcPr>
            <w:tcW w:w="6838" w:type="dxa"/>
            <w:gridSpan w:val="5"/>
          </w:tcPr>
          <w:p w14:paraId="6DF4739A" w14:textId="77777777" w:rsidR="005C4D1E" w:rsidRPr="00A139D2" w:rsidRDefault="00A139D2" w:rsidP="002445E0">
            <w:pPr>
              <w:pStyle w:val="NoSpacing"/>
              <w:rPr>
                <w:rFonts w:ascii="Arial" w:hAnsi="Arial" w:cs="Arial"/>
                <w:color w:val="15284C"/>
                <w:sz w:val="22"/>
              </w:rPr>
            </w:pPr>
            <w:r w:rsidRPr="00A139D2">
              <w:rPr>
                <w:rFonts w:ascii="Arial" w:hAnsi="Arial" w:cs="Arial"/>
                <w:color w:val="15284C"/>
                <w:sz w:val="22"/>
              </w:rPr>
              <w:t>Christchurch Hospital.</w:t>
            </w:r>
          </w:p>
        </w:tc>
      </w:tr>
      <w:tr w:rsidR="00FC3FD6" w:rsidRPr="002C4DDC" w14:paraId="2D31B788" w14:textId="77777777" w:rsidTr="703BC511">
        <w:tc>
          <w:tcPr>
            <w:tcW w:w="2376" w:type="dxa"/>
          </w:tcPr>
          <w:p w14:paraId="6C517A1B" w14:textId="77777777" w:rsidR="005C4D1E" w:rsidRPr="00A139D2" w:rsidRDefault="005C4D1E" w:rsidP="002445E0">
            <w:pPr>
              <w:pStyle w:val="Heading2"/>
              <w:rPr>
                <w:rFonts w:ascii="Arial" w:hAnsi="Arial" w:cs="Arial"/>
                <w:caps w:val="0"/>
                <w:color w:val="15284C"/>
                <w:sz w:val="24"/>
              </w:rPr>
            </w:pPr>
            <w:r w:rsidRPr="00A139D2">
              <w:rPr>
                <w:rFonts w:ascii="Arial" w:hAnsi="Arial" w:cs="Arial"/>
                <w:caps w:val="0"/>
                <w:color w:val="15284C"/>
                <w:sz w:val="24"/>
              </w:rPr>
              <w:t>Department</w:t>
            </w:r>
          </w:p>
        </w:tc>
        <w:tc>
          <w:tcPr>
            <w:tcW w:w="6838" w:type="dxa"/>
            <w:gridSpan w:val="5"/>
          </w:tcPr>
          <w:p w14:paraId="0CC6442A" w14:textId="77777777" w:rsidR="005C4D1E" w:rsidRPr="00A139D2" w:rsidRDefault="00A139D2" w:rsidP="002445E0">
            <w:pPr>
              <w:pStyle w:val="NoSpacing"/>
              <w:rPr>
                <w:rFonts w:ascii="Arial" w:hAnsi="Arial" w:cs="Arial"/>
                <w:color w:val="15284C"/>
                <w:sz w:val="22"/>
              </w:rPr>
            </w:pPr>
            <w:r w:rsidRPr="00A139D2">
              <w:rPr>
                <w:rFonts w:ascii="Arial" w:hAnsi="Arial" w:cs="Arial"/>
                <w:color w:val="15284C"/>
                <w:sz w:val="22"/>
              </w:rPr>
              <w:t>General Medicine</w:t>
            </w:r>
          </w:p>
        </w:tc>
      </w:tr>
      <w:tr w:rsidR="00FC3FD6" w:rsidRPr="002C4DDC" w14:paraId="04F93724" w14:textId="77777777" w:rsidTr="703BC511">
        <w:tc>
          <w:tcPr>
            <w:tcW w:w="2376" w:type="dxa"/>
            <w:tcBorders>
              <w:top w:val="single" w:sz="4" w:space="0" w:color="E7E6E6" w:themeColor="background2"/>
            </w:tcBorders>
          </w:tcPr>
          <w:p w14:paraId="675A9FB1" w14:textId="77777777" w:rsidR="005C4D1E" w:rsidRPr="00A139D2" w:rsidRDefault="005C4D1E" w:rsidP="002445E0">
            <w:pPr>
              <w:pStyle w:val="Heading2"/>
              <w:rPr>
                <w:rFonts w:ascii="Arial" w:hAnsi="Arial" w:cs="Arial"/>
                <w:caps w:val="0"/>
                <w:color w:val="15284C"/>
                <w:sz w:val="24"/>
              </w:rPr>
            </w:pPr>
            <w:r w:rsidRPr="00A139D2">
              <w:rPr>
                <w:rFonts w:ascii="Arial" w:hAnsi="Arial" w:cs="Arial"/>
                <w:caps w:val="0"/>
                <w:color w:val="15284C"/>
                <w:sz w:val="24"/>
              </w:rPr>
              <w:t>Direct Reports</w:t>
            </w:r>
          </w:p>
        </w:tc>
        <w:tc>
          <w:tcPr>
            <w:tcW w:w="2231" w:type="dxa"/>
            <w:gridSpan w:val="3"/>
            <w:tcBorders>
              <w:top w:val="single" w:sz="4" w:space="0" w:color="E7E6E6" w:themeColor="background2"/>
            </w:tcBorders>
          </w:tcPr>
          <w:p w14:paraId="1AAD277D" w14:textId="77777777" w:rsidR="005C4D1E" w:rsidRPr="00A139D2" w:rsidRDefault="00A139D2" w:rsidP="0078274A">
            <w:pPr>
              <w:pStyle w:val="NoSpacing"/>
              <w:rPr>
                <w:rFonts w:ascii="Arial" w:hAnsi="Arial" w:cs="Arial"/>
                <w:color w:val="15284C"/>
                <w:sz w:val="22"/>
              </w:rPr>
            </w:pPr>
            <w:r w:rsidRPr="00A139D2">
              <w:rPr>
                <w:rFonts w:ascii="Arial" w:hAnsi="Arial" w:cs="Arial"/>
                <w:color w:val="15284C"/>
                <w:sz w:val="22"/>
              </w:rPr>
              <w:t>Nil</w:t>
            </w:r>
          </w:p>
        </w:tc>
        <w:tc>
          <w:tcPr>
            <w:tcW w:w="2022" w:type="dxa"/>
            <w:tcBorders>
              <w:top w:val="single" w:sz="4" w:space="0" w:color="E7E6E6" w:themeColor="background2"/>
            </w:tcBorders>
          </w:tcPr>
          <w:p w14:paraId="7FD0A63F" w14:textId="77777777" w:rsidR="005C4D1E" w:rsidRPr="00A139D2" w:rsidRDefault="005C4D1E" w:rsidP="002445E0">
            <w:pPr>
              <w:pStyle w:val="NoSpacing"/>
              <w:rPr>
                <w:rFonts w:ascii="Arial" w:hAnsi="Arial" w:cs="Arial"/>
                <w:b/>
                <w:bCs/>
                <w:color w:val="15284C"/>
                <w:sz w:val="24"/>
                <w:szCs w:val="24"/>
              </w:rPr>
            </w:pPr>
            <w:r w:rsidRPr="00A139D2">
              <w:rPr>
                <w:rFonts w:ascii="Arial" w:hAnsi="Arial" w:cs="Arial"/>
                <w:b/>
                <w:bCs/>
                <w:color w:val="15284C"/>
                <w:sz w:val="24"/>
                <w:szCs w:val="24"/>
              </w:rPr>
              <w:t>Total FTE</w:t>
            </w:r>
          </w:p>
        </w:tc>
        <w:tc>
          <w:tcPr>
            <w:tcW w:w="2585" w:type="dxa"/>
            <w:tcBorders>
              <w:top w:val="single" w:sz="4" w:space="0" w:color="E7E6E6" w:themeColor="background2"/>
            </w:tcBorders>
          </w:tcPr>
          <w:p w14:paraId="0286B5CD" w14:textId="77777777" w:rsidR="005C4D1E" w:rsidRPr="00A139D2" w:rsidRDefault="00A139D2" w:rsidP="0078274A">
            <w:pPr>
              <w:pStyle w:val="NoSpacing"/>
              <w:rPr>
                <w:rFonts w:ascii="Arial" w:hAnsi="Arial" w:cs="Arial"/>
                <w:bCs/>
                <w:color w:val="15284C"/>
                <w:sz w:val="22"/>
              </w:rPr>
            </w:pPr>
            <w:r w:rsidRPr="00A139D2">
              <w:rPr>
                <w:rFonts w:ascii="Arial" w:hAnsi="Arial" w:cs="Arial"/>
                <w:bCs/>
                <w:color w:val="15284C"/>
                <w:sz w:val="22"/>
              </w:rPr>
              <w:t>1</w:t>
            </w:r>
          </w:p>
        </w:tc>
      </w:tr>
      <w:tr w:rsidR="00FC3FD6" w:rsidRPr="002C4DDC" w14:paraId="1EC47E45" w14:textId="77777777" w:rsidTr="703BC511">
        <w:tc>
          <w:tcPr>
            <w:tcW w:w="2376" w:type="dxa"/>
            <w:tcBorders>
              <w:top w:val="single" w:sz="4" w:space="0" w:color="E7E6E6" w:themeColor="background2"/>
            </w:tcBorders>
          </w:tcPr>
          <w:p w14:paraId="67C5265C" w14:textId="77777777" w:rsidR="005C4D1E" w:rsidRPr="00A139D2" w:rsidRDefault="005C4D1E" w:rsidP="002445E0">
            <w:pPr>
              <w:pStyle w:val="Heading2"/>
              <w:rPr>
                <w:rFonts w:ascii="Arial" w:hAnsi="Arial" w:cs="Arial"/>
                <w:caps w:val="0"/>
                <w:color w:val="15284C"/>
                <w:sz w:val="24"/>
              </w:rPr>
            </w:pPr>
            <w:r w:rsidRPr="00A139D2">
              <w:rPr>
                <w:rFonts w:ascii="Arial" w:hAnsi="Arial" w:cs="Arial"/>
                <w:caps w:val="0"/>
                <w:color w:val="15284C"/>
                <w:sz w:val="24"/>
              </w:rPr>
              <w:t>Budget Size</w:t>
            </w:r>
          </w:p>
        </w:tc>
        <w:tc>
          <w:tcPr>
            <w:tcW w:w="1115" w:type="dxa"/>
            <w:gridSpan w:val="2"/>
            <w:tcBorders>
              <w:top w:val="single" w:sz="4" w:space="0" w:color="E7E6E6" w:themeColor="background2"/>
            </w:tcBorders>
          </w:tcPr>
          <w:p w14:paraId="115D96CB" w14:textId="77777777" w:rsidR="005C4D1E" w:rsidRPr="00A139D2" w:rsidRDefault="005C4D1E" w:rsidP="002445E0">
            <w:pPr>
              <w:pStyle w:val="NoSpacing"/>
              <w:rPr>
                <w:rFonts w:ascii="Arial" w:hAnsi="Arial" w:cs="Arial"/>
                <w:b/>
                <w:color w:val="15284C"/>
                <w:sz w:val="22"/>
              </w:rPr>
            </w:pPr>
            <w:proofErr w:type="spellStart"/>
            <w:r w:rsidRPr="00A139D2">
              <w:rPr>
                <w:rFonts w:ascii="Arial" w:hAnsi="Arial" w:cs="Arial"/>
                <w:b/>
                <w:color w:val="15284C"/>
                <w:sz w:val="22"/>
              </w:rPr>
              <w:t>Opex</w:t>
            </w:r>
            <w:proofErr w:type="spellEnd"/>
          </w:p>
        </w:tc>
        <w:tc>
          <w:tcPr>
            <w:tcW w:w="1116" w:type="dxa"/>
            <w:tcBorders>
              <w:top w:val="single" w:sz="4" w:space="0" w:color="E7E6E6" w:themeColor="background2"/>
            </w:tcBorders>
          </w:tcPr>
          <w:p w14:paraId="4E6EAC35" w14:textId="77777777" w:rsidR="005C4D1E" w:rsidRPr="00A139D2" w:rsidRDefault="005C4D1E" w:rsidP="002445E0">
            <w:pPr>
              <w:pStyle w:val="NoSpacing"/>
              <w:rPr>
                <w:rFonts w:ascii="Arial" w:hAnsi="Arial" w:cs="Arial"/>
                <w:color w:val="15284C"/>
                <w:sz w:val="22"/>
              </w:rPr>
            </w:pPr>
          </w:p>
        </w:tc>
        <w:tc>
          <w:tcPr>
            <w:tcW w:w="2022" w:type="dxa"/>
            <w:tcBorders>
              <w:top w:val="single" w:sz="4" w:space="0" w:color="E7E6E6" w:themeColor="background2"/>
            </w:tcBorders>
          </w:tcPr>
          <w:p w14:paraId="06D14B84" w14:textId="77777777" w:rsidR="005C4D1E" w:rsidRPr="00A139D2" w:rsidRDefault="005C4D1E" w:rsidP="002445E0">
            <w:pPr>
              <w:pStyle w:val="NoSpacing"/>
              <w:rPr>
                <w:rFonts w:ascii="Arial" w:hAnsi="Arial" w:cs="Arial"/>
                <w:b/>
                <w:bCs/>
                <w:color w:val="15284C"/>
                <w:sz w:val="24"/>
                <w:szCs w:val="24"/>
              </w:rPr>
            </w:pPr>
            <w:r w:rsidRPr="00A139D2">
              <w:rPr>
                <w:rFonts w:ascii="Arial" w:hAnsi="Arial" w:cs="Arial"/>
                <w:b/>
                <w:bCs/>
                <w:color w:val="15284C"/>
                <w:sz w:val="24"/>
                <w:szCs w:val="24"/>
              </w:rPr>
              <w:t>Capex</w:t>
            </w:r>
          </w:p>
        </w:tc>
        <w:tc>
          <w:tcPr>
            <w:tcW w:w="2585" w:type="dxa"/>
            <w:tcBorders>
              <w:top w:val="single" w:sz="4" w:space="0" w:color="E7E6E6" w:themeColor="background2"/>
            </w:tcBorders>
          </w:tcPr>
          <w:p w14:paraId="264ACDC3" w14:textId="77777777" w:rsidR="005C4D1E" w:rsidRPr="00A139D2" w:rsidRDefault="005C4D1E" w:rsidP="0078274A">
            <w:pPr>
              <w:pStyle w:val="NoSpacing"/>
              <w:rPr>
                <w:rFonts w:ascii="Arial" w:hAnsi="Arial" w:cs="Arial"/>
                <w:bCs/>
                <w:color w:val="15284C"/>
                <w:sz w:val="22"/>
              </w:rPr>
            </w:pPr>
          </w:p>
        </w:tc>
      </w:tr>
      <w:tr w:rsidR="00FC3FD6" w:rsidRPr="002C4DDC" w14:paraId="0F0410BD" w14:textId="77777777" w:rsidTr="703BC511">
        <w:tc>
          <w:tcPr>
            <w:tcW w:w="2376" w:type="dxa"/>
            <w:tcBorders>
              <w:top w:val="single" w:sz="4" w:space="0" w:color="E7E6E6" w:themeColor="background2"/>
            </w:tcBorders>
          </w:tcPr>
          <w:p w14:paraId="732CDB08" w14:textId="77777777" w:rsidR="005C4D1E" w:rsidRPr="00A139D2" w:rsidRDefault="005C4D1E" w:rsidP="002445E0">
            <w:pPr>
              <w:pStyle w:val="Heading2"/>
              <w:rPr>
                <w:rFonts w:ascii="Arial" w:hAnsi="Arial" w:cs="Arial"/>
                <w:caps w:val="0"/>
                <w:color w:val="15284C"/>
                <w:sz w:val="24"/>
              </w:rPr>
            </w:pPr>
            <w:r w:rsidRPr="00A139D2">
              <w:rPr>
                <w:rFonts w:ascii="Arial" w:hAnsi="Arial" w:cs="Arial"/>
                <w:caps w:val="0"/>
                <w:color w:val="15284C"/>
                <w:sz w:val="24"/>
              </w:rPr>
              <w:t>Delegated Authority</w:t>
            </w:r>
          </w:p>
        </w:tc>
        <w:tc>
          <w:tcPr>
            <w:tcW w:w="1115" w:type="dxa"/>
            <w:gridSpan w:val="2"/>
            <w:tcBorders>
              <w:top w:val="single" w:sz="4" w:space="0" w:color="E7E6E6" w:themeColor="background2"/>
            </w:tcBorders>
          </w:tcPr>
          <w:p w14:paraId="1ADBA411" w14:textId="77777777" w:rsidR="005C4D1E" w:rsidRPr="00A139D2" w:rsidRDefault="005C4D1E" w:rsidP="002445E0">
            <w:pPr>
              <w:pStyle w:val="NoSpacing"/>
              <w:rPr>
                <w:rFonts w:ascii="Arial" w:hAnsi="Arial" w:cs="Arial"/>
                <w:b/>
                <w:color w:val="15284C"/>
                <w:sz w:val="24"/>
                <w:szCs w:val="24"/>
              </w:rPr>
            </w:pPr>
            <w:r w:rsidRPr="00A139D2">
              <w:rPr>
                <w:rFonts w:ascii="Arial" w:hAnsi="Arial" w:cs="Arial"/>
                <w:b/>
                <w:color w:val="15284C"/>
                <w:sz w:val="24"/>
                <w:szCs w:val="24"/>
              </w:rPr>
              <w:t>HR</w:t>
            </w:r>
          </w:p>
        </w:tc>
        <w:tc>
          <w:tcPr>
            <w:tcW w:w="1116" w:type="dxa"/>
            <w:tcBorders>
              <w:top w:val="single" w:sz="4" w:space="0" w:color="E7E6E6" w:themeColor="background2"/>
            </w:tcBorders>
          </w:tcPr>
          <w:p w14:paraId="7731D1DA" w14:textId="77777777" w:rsidR="005C4D1E" w:rsidRPr="00A139D2" w:rsidRDefault="005C4D1E" w:rsidP="002445E0">
            <w:pPr>
              <w:pStyle w:val="NoSpacing"/>
              <w:rPr>
                <w:rFonts w:ascii="Arial" w:hAnsi="Arial" w:cs="Arial"/>
                <w:color w:val="15284C"/>
                <w:sz w:val="22"/>
              </w:rPr>
            </w:pPr>
          </w:p>
        </w:tc>
        <w:tc>
          <w:tcPr>
            <w:tcW w:w="2022" w:type="dxa"/>
            <w:tcBorders>
              <w:top w:val="single" w:sz="4" w:space="0" w:color="E7E6E6" w:themeColor="background2"/>
            </w:tcBorders>
          </w:tcPr>
          <w:p w14:paraId="4D4C8271" w14:textId="77777777" w:rsidR="005C4D1E" w:rsidRPr="00A139D2" w:rsidRDefault="005C4D1E" w:rsidP="002445E0">
            <w:pPr>
              <w:pStyle w:val="NoSpacing"/>
              <w:rPr>
                <w:rFonts w:ascii="Arial" w:hAnsi="Arial" w:cs="Arial"/>
                <w:b/>
                <w:bCs/>
                <w:color w:val="15284C"/>
                <w:sz w:val="24"/>
                <w:szCs w:val="24"/>
              </w:rPr>
            </w:pPr>
            <w:r w:rsidRPr="00A139D2">
              <w:rPr>
                <w:rFonts w:ascii="Arial" w:hAnsi="Arial" w:cs="Arial"/>
                <w:b/>
                <w:bCs/>
                <w:color w:val="15284C"/>
                <w:sz w:val="24"/>
                <w:szCs w:val="24"/>
              </w:rPr>
              <w:t>Finance</w:t>
            </w:r>
          </w:p>
        </w:tc>
        <w:tc>
          <w:tcPr>
            <w:tcW w:w="2585" w:type="dxa"/>
            <w:tcBorders>
              <w:top w:val="single" w:sz="4" w:space="0" w:color="E7E6E6" w:themeColor="background2"/>
            </w:tcBorders>
          </w:tcPr>
          <w:p w14:paraId="0B3518C6" w14:textId="77777777" w:rsidR="005C4D1E" w:rsidRPr="00A139D2" w:rsidRDefault="005C4D1E" w:rsidP="002445E0">
            <w:pPr>
              <w:pStyle w:val="NoSpacing"/>
              <w:rPr>
                <w:rFonts w:ascii="Arial" w:hAnsi="Arial" w:cs="Arial"/>
                <w:bCs/>
                <w:color w:val="15284C"/>
                <w:sz w:val="22"/>
              </w:rPr>
            </w:pPr>
          </w:p>
        </w:tc>
      </w:tr>
      <w:tr w:rsidR="00FC3FD6" w:rsidRPr="002C4DDC" w14:paraId="58BB0E96" w14:textId="77777777" w:rsidTr="703BC511">
        <w:tc>
          <w:tcPr>
            <w:tcW w:w="2840" w:type="dxa"/>
            <w:gridSpan w:val="2"/>
          </w:tcPr>
          <w:p w14:paraId="2A02EDF7" w14:textId="77777777" w:rsidR="005C4D1E" w:rsidRPr="00A139D2" w:rsidRDefault="005C4D1E" w:rsidP="002445E0">
            <w:pPr>
              <w:pStyle w:val="Heading2"/>
              <w:rPr>
                <w:rFonts w:ascii="Arial" w:hAnsi="Arial" w:cs="Arial"/>
                <w:caps w:val="0"/>
                <w:color w:val="15284C"/>
                <w:sz w:val="24"/>
              </w:rPr>
            </w:pPr>
            <w:r w:rsidRPr="00A139D2">
              <w:rPr>
                <w:rFonts w:ascii="Arial" w:hAnsi="Arial" w:cs="Arial"/>
                <w:caps w:val="0"/>
                <w:color w:val="15284C"/>
                <w:sz w:val="24"/>
              </w:rPr>
              <w:t>Date</w:t>
            </w:r>
          </w:p>
        </w:tc>
        <w:tc>
          <w:tcPr>
            <w:tcW w:w="6374" w:type="dxa"/>
            <w:gridSpan w:val="4"/>
          </w:tcPr>
          <w:p w14:paraId="4D6FE543" w14:textId="77777777" w:rsidR="005C4D1E" w:rsidRPr="00A139D2" w:rsidRDefault="00A139D2" w:rsidP="002445E0">
            <w:pPr>
              <w:pStyle w:val="NoSpacing"/>
              <w:rPr>
                <w:rFonts w:ascii="Arial" w:hAnsi="Arial" w:cs="Arial"/>
                <w:bCs/>
                <w:color w:val="15284C"/>
                <w:sz w:val="22"/>
              </w:rPr>
            </w:pPr>
            <w:r w:rsidRPr="00A139D2">
              <w:rPr>
                <w:rFonts w:ascii="Arial" w:hAnsi="Arial" w:cs="Arial"/>
                <w:bCs/>
                <w:color w:val="15284C"/>
                <w:sz w:val="22"/>
              </w:rPr>
              <w:t>21/11/25</w:t>
            </w:r>
          </w:p>
        </w:tc>
      </w:tr>
      <w:tr w:rsidR="00FC3FD6" w:rsidRPr="002C4DDC" w14:paraId="350F03A8" w14:textId="77777777" w:rsidTr="703BC511">
        <w:tc>
          <w:tcPr>
            <w:tcW w:w="2840" w:type="dxa"/>
            <w:gridSpan w:val="2"/>
          </w:tcPr>
          <w:p w14:paraId="1B2B62C4" w14:textId="77777777" w:rsidR="005C4D1E" w:rsidRPr="00A139D2" w:rsidRDefault="005C4D1E" w:rsidP="002445E0">
            <w:pPr>
              <w:pStyle w:val="Heading2"/>
              <w:rPr>
                <w:rFonts w:ascii="Arial" w:hAnsi="Arial" w:cs="Arial"/>
                <w:caps w:val="0"/>
                <w:color w:val="15284C"/>
                <w:sz w:val="24"/>
              </w:rPr>
            </w:pPr>
            <w:r w:rsidRPr="00A139D2">
              <w:rPr>
                <w:rFonts w:ascii="Arial" w:hAnsi="Arial" w:cs="Arial"/>
                <w:caps w:val="0"/>
                <w:color w:val="15284C"/>
                <w:sz w:val="24"/>
              </w:rPr>
              <w:t>Job band (indicative)</w:t>
            </w:r>
          </w:p>
        </w:tc>
        <w:tc>
          <w:tcPr>
            <w:tcW w:w="6374" w:type="dxa"/>
            <w:gridSpan w:val="4"/>
          </w:tcPr>
          <w:p w14:paraId="6A78BD9C" w14:textId="77777777" w:rsidR="005C4D1E" w:rsidRPr="00A139D2" w:rsidRDefault="00A139D2" w:rsidP="002445E0">
            <w:pPr>
              <w:pStyle w:val="NoSpacing"/>
              <w:rPr>
                <w:rFonts w:ascii="Arial" w:hAnsi="Arial" w:cs="Arial"/>
                <w:bCs/>
                <w:color w:val="15284C"/>
                <w:sz w:val="22"/>
              </w:rPr>
            </w:pPr>
            <w:r w:rsidRPr="00A139D2">
              <w:rPr>
                <w:rFonts w:ascii="Arial" w:hAnsi="Arial" w:cs="Arial"/>
                <w:bCs/>
                <w:color w:val="15284C"/>
                <w:sz w:val="22"/>
              </w:rPr>
              <w:t>SMO steps 1-15.</w:t>
            </w:r>
          </w:p>
        </w:tc>
      </w:tr>
    </w:tbl>
    <w:p w14:paraId="1C0C12C9" w14:textId="77777777" w:rsidR="00ED0B37" w:rsidRPr="002C4DDC" w:rsidRDefault="00ED0B37" w:rsidP="003730EE">
      <w:pPr>
        <w:spacing w:after="0"/>
        <w:jc w:val="both"/>
        <w:rPr>
          <w:rFonts w:ascii="Arial" w:eastAsia="Segoe UI" w:hAnsi="Arial" w:cs="Arial"/>
          <w:b/>
          <w:color w:val="000000" w:themeColor="text1"/>
        </w:rPr>
      </w:pPr>
    </w:p>
    <w:p w14:paraId="163958D4" w14:textId="77777777" w:rsidR="002C4DDC" w:rsidRDefault="002C4DDC" w:rsidP="003730EE">
      <w:pPr>
        <w:spacing w:after="0"/>
        <w:jc w:val="both"/>
        <w:rPr>
          <w:rFonts w:ascii="Arial" w:eastAsia="Segoe UI" w:hAnsi="Arial" w:cs="Arial"/>
          <w:color w:val="000000" w:themeColor="text1"/>
        </w:rPr>
      </w:pPr>
      <w:bookmarkStart w:id="0" w:name="_Hlk104803960"/>
    </w:p>
    <w:p w14:paraId="31116C26" w14:textId="77777777" w:rsidR="002C4DDC" w:rsidRDefault="002C4DDC" w:rsidP="003730EE">
      <w:pPr>
        <w:spacing w:after="0"/>
        <w:jc w:val="both"/>
        <w:rPr>
          <w:rFonts w:ascii="Arial" w:eastAsia="Segoe UI" w:hAnsi="Arial" w:cs="Arial"/>
          <w:color w:val="000000" w:themeColor="text1"/>
        </w:rPr>
      </w:pPr>
    </w:p>
    <w:p w14:paraId="046EAAF3" w14:textId="7777777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24A0E826" w14:textId="77777777" w:rsidR="003730EE" w:rsidRPr="002C4DDC" w:rsidRDefault="003730EE" w:rsidP="003730EE">
      <w:pPr>
        <w:spacing w:after="0"/>
        <w:jc w:val="both"/>
        <w:rPr>
          <w:rFonts w:ascii="Arial" w:eastAsia="Segoe UI" w:hAnsi="Arial" w:cs="Arial"/>
          <w:color w:val="000000" w:themeColor="text1"/>
        </w:rPr>
      </w:pPr>
    </w:p>
    <w:p w14:paraId="4BF6B24D" w14:textId="77777777"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52230C2A" w14:textId="77777777"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25967915" w14:textId="77777777"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18AFDB98" w14:textId="77777777"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2D881C34" w14:textId="77777777"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59AEC364" w14:textId="77777777"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208ABEA1" w14:textId="77777777" w:rsidR="00747C28" w:rsidRDefault="00747C28" w:rsidP="00D448C7">
      <w:pPr>
        <w:pStyle w:val="Heading2"/>
        <w:rPr>
          <w:rFonts w:ascii="Arial" w:hAnsi="Arial" w:cs="Arial"/>
          <w:caps w:val="0"/>
          <w:color w:val="15284C"/>
          <w:sz w:val="24"/>
          <w:szCs w:val="24"/>
        </w:rPr>
      </w:pPr>
    </w:p>
    <w:p w14:paraId="05BFDE2A" w14:textId="77777777"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2CBAA329" w14:textId="77777777" w:rsidR="00D448C7" w:rsidRPr="002C4DDC" w:rsidRDefault="00857AAF" w:rsidP="00D448C7">
      <w:pPr>
        <w:pStyle w:val="Heading2"/>
        <w:rPr>
          <w:rFonts w:ascii="Arial" w:hAnsi="Arial" w:cs="Arial"/>
          <w:caps w:val="0"/>
          <w:color w:val="009C98"/>
          <w:sz w:val="22"/>
          <w:szCs w:val="22"/>
        </w:rPr>
      </w:pPr>
      <w:r>
        <w:rPr>
          <w:rFonts w:ascii="Arial" w:hAnsi="Arial" w:cs="Arial"/>
          <w:caps w:val="0"/>
          <w:color w:val="009C98"/>
          <w:sz w:val="22"/>
          <w:szCs w:val="22"/>
        </w:rPr>
        <w:pict w14:anchorId="3F721D7F">
          <v:rect id="_x0000_i1025" style="width:451.3pt;height:1.5pt" o:hralign="center" o:hrstd="t" o:hrnoshade="t" o:hr="t" fillcolor="#15284c" stroked="f"/>
        </w:pict>
      </w:r>
    </w:p>
    <w:p w14:paraId="0F1234B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w:t>
      </w:r>
    </w:p>
    <w:p w14:paraId="487C00C7" w14:textId="77777777" w:rsidR="008C18D3" w:rsidRPr="002C4DDC" w:rsidRDefault="008C18D3" w:rsidP="008C18D3">
      <w:pPr>
        <w:spacing w:after="0" w:line="240" w:lineRule="auto"/>
        <w:rPr>
          <w:rFonts w:ascii="Arial" w:eastAsia="Times New Roman" w:hAnsi="Arial" w:cs="Arial"/>
          <w:lang w:eastAsia="en-NZ"/>
        </w:rPr>
      </w:pPr>
    </w:p>
    <w:p w14:paraId="5836BF0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It applies to everyone in our organisation and sits alongside our code of conduct as our guiding document. </w:t>
      </w:r>
    </w:p>
    <w:p w14:paraId="474AC56F"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1A850A05"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Te Mauri o Rongo consists of four pou (pillars) within it, including:</w:t>
      </w:r>
    </w:p>
    <w:p w14:paraId="7CDE1B5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6FCC8571" w14:textId="77777777"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2824FB" w14:textId="77777777"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 xml:space="preserve">Te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631F7E6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424C9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6C80A4F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1E4500A8"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5836E29B"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4CA02947"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375C61E2"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6E23F3D0"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744D7529" w14:textId="77777777" w:rsidR="00AD31C5" w:rsidRPr="002C4DDC" w:rsidRDefault="00AD31C5" w:rsidP="00AD31C5">
      <w:pPr>
        <w:rPr>
          <w:rFonts w:ascii="Arial" w:hAnsi="Arial" w:cs="Arial"/>
          <w:color w:val="009C98"/>
        </w:rPr>
      </w:pPr>
    </w:p>
    <w:p w14:paraId="5A9496CF" w14:textId="77777777"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116A7937" w14:textId="77777777" w:rsidR="00DF3A52" w:rsidRPr="002C4DDC" w:rsidRDefault="00857AAF" w:rsidP="00A139D2">
      <w:pPr>
        <w:rPr>
          <w:rFonts w:ascii="Arial" w:hAnsi="Arial" w:cs="Arial"/>
          <w:b/>
        </w:rPr>
      </w:pPr>
      <w:r>
        <w:rPr>
          <w:rFonts w:ascii="Arial" w:hAnsi="Arial" w:cs="Arial"/>
          <w:color w:val="15284C"/>
        </w:rPr>
        <w:pict w14:anchorId="17E255A0">
          <v:rect id="_x0000_i1026" style="width:451.3pt;height:1.5pt" o:hralign="center" o:hrstd="t" o:hrnoshade="t" o:hr="t" fillcolor="#15284c" stroked="f"/>
        </w:pict>
      </w:r>
      <w:r w:rsidR="00DF3A52" w:rsidRPr="002C4DDC">
        <w:rPr>
          <w:rFonts w:ascii="Arial" w:hAnsi="Arial" w:cs="Arial"/>
        </w:rPr>
        <w:t>The primary purpose of the role is to</w:t>
      </w:r>
      <w:r w:rsidR="00A139D2">
        <w:rPr>
          <w:rFonts w:ascii="Arial" w:hAnsi="Arial" w:cs="Arial"/>
        </w:rPr>
        <w:t xml:space="preserve"> </w:t>
      </w:r>
      <w:r w:rsidR="00A139D2">
        <w:rPr>
          <w:rFonts w:ascii="Arial" w:hAnsi="Arial"/>
        </w:rPr>
        <w:t>provide a comprehensive service to all acute General Medicine patients requiring admission to Christchurch Hospital.</w:t>
      </w:r>
    </w:p>
    <w:p w14:paraId="3CB8E9AE" w14:textId="77777777" w:rsidR="00DF3A52" w:rsidRDefault="00DF3A52" w:rsidP="00DF3A52">
      <w:pPr>
        <w:spacing w:after="0"/>
        <w:rPr>
          <w:rFonts w:ascii="Arial" w:hAnsi="Arial" w:cs="Arial"/>
        </w:rPr>
      </w:pPr>
    </w:p>
    <w:tbl>
      <w:tblPr>
        <w:tblW w:w="0" w:type="auto"/>
        <w:tblLayout w:type="fixed"/>
        <w:tblLook w:val="0000" w:firstRow="0" w:lastRow="0" w:firstColumn="0" w:lastColumn="0" w:noHBand="0" w:noVBand="0"/>
      </w:tblPr>
      <w:tblGrid>
        <w:gridCol w:w="1951"/>
        <w:gridCol w:w="7292"/>
      </w:tblGrid>
      <w:tr w:rsidR="00A139D2" w14:paraId="76159C9A" w14:textId="77777777" w:rsidTr="004074CC">
        <w:tc>
          <w:tcPr>
            <w:tcW w:w="1951" w:type="dxa"/>
          </w:tcPr>
          <w:p w14:paraId="1CE9829E" w14:textId="77777777" w:rsidR="00A139D2" w:rsidRDefault="00A139D2" w:rsidP="004074CC">
            <w:pPr>
              <w:rPr>
                <w:rFonts w:ascii="Arial" w:hAnsi="Arial"/>
              </w:rPr>
            </w:pPr>
            <w:r>
              <w:rPr>
                <w:rFonts w:ascii="Arial" w:hAnsi="Arial"/>
              </w:rPr>
              <w:t>Task</w:t>
            </w:r>
          </w:p>
        </w:tc>
        <w:tc>
          <w:tcPr>
            <w:tcW w:w="7292" w:type="dxa"/>
            <w:tcBorders>
              <w:top w:val="single" w:sz="6" w:space="0" w:color="auto"/>
              <w:left w:val="single" w:sz="6" w:space="0" w:color="auto"/>
              <w:right w:val="single" w:sz="6" w:space="0" w:color="auto"/>
            </w:tcBorders>
          </w:tcPr>
          <w:p w14:paraId="4544A909" w14:textId="77777777" w:rsidR="00A139D2" w:rsidRDefault="00A139D2" w:rsidP="00A139D2">
            <w:r w:rsidRPr="00A139D2">
              <w:rPr>
                <w:rFonts w:ascii="Arial" w:hAnsi="Arial"/>
                <w:b/>
              </w:rPr>
              <w:t>Acute Admitting and Inpatient Responsibilities</w:t>
            </w:r>
          </w:p>
        </w:tc>
      </w:tr>
      <w:tr w:rsidR="00A139D2" w14:paraId="6050C782" w14:textId="77777777" w:rsidTr="004074CC">
        <w:tc>
          <w:tcPr>
            <w:tcW w:w="1951" w:type="dxa"/>
          </w:tcPr>
          <w:p w14:paraId="3625B416" w14:textId="77777777" w:rsidR="00A139D2" w:rsidRDefault="00A139D2" w:rsidP="004074CC">
            <w:pPr>
              <w:rPr>
                <w:rFonts w:ascii="Arial" w:hAnsi="Arial"/>
              </w:rPr>
            </w:pPr>
            <w:r>
              <w:rPr>
                <w:rFonts w:ascii="Arial" w:hAnsi="Arial"/>
              </w:rPr>
              <w:t>Expected Result</w:t>
            </w:r>
          </w:p>
        </w:tc>
        <w:tc>
          <w:tcPr>
            <w:tcW w:w="7292" w:type="dxa"/>
            <w:tcBorders>
              <w:top w:val="single" w:sz="6" w:space="0" w:color="auto"/>
              <w:left w:val="single" w:sz="6" w:space="0" w:color="auto"/>
              <w:bottom w:val="single" w:sz="6" w:space="0" w:color="auto"/>
              <w:right w:val="single" w:sz="6" w:space="0" w:color="auto"/>
            </w:tcBorders>
          </w:tcPr>
          <w:p w14:paraId="5F7A7872" w14:textId="77777777" w:rsidR="00A139D2" w:rsidRPr="002E1EF4" w:rsidRDefault="00A139D2" w:rsidP="00A139D2">
            <w:pPr>
              <w:numPr>
                <w:ilvl w:val="0"/>
                <w:numId w:val="19"/>
              </w:numPr>
              <w:spacing w:after="120" w:line="240" w:lineRule="auto"/>
              <w:rPr>
                <w:rFonts w:ascii="Arial" w:hAnsi="Arial"/>
                <w:i/>
              </w:rPr>
            </w:pPr>
            <w:r>
              <w:rPr>
                <w:rFonts w:ascii="Arial" w:hAnsi="Arial"/>
              </w:rPr>
              <w:t xml:space="preserve">For each 24-hour period of acute on-call, the consultant will </w:t>
            </w:r>
            <w:proofErr w:type="gramStart"/>
            <w:r>
              <w:rPr>
                <w:rFonts w:ascii="Arial" w:hAnsi="Arial"/>
              </w:rPr>
              <w:t>be available at all times</w:t>
            </w:r>
            <w:proofErr w:type="gramEnd"/>
            <w:r>
              <w:rPr>
                <w:rFonts w:ascii="Arial" w:hAnsi="Arial"/>
              </w:rPr>
              <w:t xml:space="preserve"> for consultation.  Patients whose condition warrants may need to be seen by the consultant at any time during the 24-hour period.</w:t>
            </w:r>
          </w:p>
          <w:p w14:paraId="786BA00D" w14:textId="77777777" w:rsidR="00A139D2" w:rsidRPr="00AB70E7" w:rsidRDefault="00A139D2" w:rsidP="00A139D2">
            <w:pPr>
              <w:numPr>
                <w:ilvl w:val="0"/>
                <w:numId w:val="19"/>
              </w:numPr>
              <w:spacing w:after="120" w:line="240" w:lineRule="auto"/>
              <w:rPr>
                <w:rFonts w:ascii="Arial" w:hAnsi="Arial"/>
                <w:i/>
              </w:rPr>
            </w:pPr>
            <w:r>
              <w:rPr>
                <w:rFonts w:ascii="Arial" w:hAnsi="Arial"/>
              </w:rPr>
              <w:t xml:space="preserve">The consultant must be free of other sub-speciality clinical commitments during this acute </w:t>
            </w:r>
            <w:proofErr w:type="gramStart"/>
            <w:r>
              <w:rPr>
                <w:rFonts w:ascii="Arial" w:hAnsi="Arial"/>
              </w:rPr>
              <w:t>24 hour</w:t>
            </w:r>
            <w:proofErr w:type="gramEnd"/>
            <w:r>
              <w:rPr>
                <w:rFonts w:ascii="Arial" w:hAnsi="Arial"/>
              </w:rPr>
              <w:t xml:space="preserve"> period.</w:t>
            </w:r>
          </w:p>
          <w:p w14:paraId="53E80F7A" w14:textId="77777777" w:rsidR="00A139D2" w:rsidRPr="00EA62AD" w:rsidRDefault="00A139D2" w:rsidP="00A139D2">
            <w:pPr>
              <w:numPr>
                <w:ilvl w:val="0"/>
                <w:numId w:val="19"/>
              </w:numPr>
              <w:spacing w:after="120" w:line="240" w:lineRule="auto"/>
              <w:rPr>
                <w:rFonts w:ascii="Arial" w:hAnsi="Arial"/>
                <w:i/>
              </w:rPr>
            </w:pPr>
            <w:r>
              <w:rPr>
                <w:rFonts w:ascii="Arial" w:hAnsi="Arial"/>
              </w:rPr>
              <w:t>Undertake an evening ward round on MEDICAL ASSESSMENT when on-call for a long day.</w:t>
            </w:r>
          </w:p>
          <w:p w14:paraId="08A6A5CC" w14:textId="77777777" w:rsidR="00A139D2" w:rsidRPr="00AB70E7" w:rsidRDefault="00A139D2" w:rsidP="00A139D2">
            <w:pPr>
              <w:numPr>
                <w:ilvl w:val="0"/>
                <w:numId w:val="19"/>
              </w:numPr>
              <w:spacing w:after="120" w:line="240" w:lineRule="auto"/>
              <w:rPr>
                <w:rFonts w:ascii="Arial" w:hAnsi="Arial"/>
                <w:i/>
              </w:rPr>
            </w:pPr>
            <w:r>
              <w:rPr>
                <w:rFonts w:ascii="Arial" w:hAnsi="Arial"/>
              </w:rPr>
              <w:t>Daily contact made with Registrar to review any patient needs.</w:t>
            </w:r>
          </w:p>
          <w:p w14:paraId="7C333ADA" w14:textId="77777777" w:rsidR="00A139D2" w:rsidRDefault="00A139D2" w:rsidP="00A139D2">
            <w:pPr>
              <w:numPr>
                <w:ilvl w:val="0"/>
                <w:numId w:val="19"/>
              </w:numPr>
              <w:spacing w:after="120" w:line="240" w:lineRule="auto"/>
              <w:rPr>
                <w:rFonts w:ascii="Arial" w:hAnsi="Arial"/>
                <w:i/>
              </w:rPr>
            </w:pPr>
            <w:r>
              <w:rPr>
                <w:rFonts w:ascii="Arial" w:hAnsi="Arial"/>
              </w:rPr>
              <w:t>Attend the 8.00 am handover meeting every week day.</w:t>
            </w:r>
          </w:p>
          <w:p w14:paraId="5465C2CB" w14:textId="77777777" w:rsidR="00A139D2" w:rsidRDefault="00A139D2" w:rsidP="00A139D2">
            <w:pPr>
              <w:numPr>
                <w:ilvl w:val="0"/>
                <w:numId w:val="19"/>
              </w:numPr>
              <w:spacing w:after="120" w:line="240" w:lineRule="auto"/>
              <w:rPr>
                <w:rFonts w:ascii="Arial" w:hAnsi="Arial"/>
                <w:i/>
              </w:rPr>
            </w:pPr>
            <w:r>
              <w:rPr>
                <w:rFonts w:ascii="Arial" w:hAnsi="Arial"/>
              </w:rPr>
              <w:t>Undertake a post-acute ward round the morning after the on-call day.  This includes an X-ray meeting at 11.30 am.</w:t>
            </w:r>
          </w:p>
          <w:p w14:paraId="077537F6" w14:textId="693ACC14" w:rsidR="00A139D2" w:rsidRPr="00AB70E7" w:rsidRDefault="00A139D2" w:rsidP="00A139D2">
            <w:pPr>
              <w:numPr>
                <w:ilvl w:val="0"/>
                <w:numId w:val="19"/>
              </w:numPr>
              <w:spacing w:after="120" w:line="240" w:lineRule="auto"/>
              <w:rPr>
                <w:rFonts w:ascii="Arial" w:hAnsi="Arial"/>
                <w:i/>
              </w:rPr>
            </w:pPr>
            <w:r>
              <w:rPr>
                <w:rFonts w:ascii="Arial" w:hAnsi="Arial"/>
              </w:rPr>
              <w:t xml:space="preserve">Accept the handover of up to eight acute patients when your team is the third-on team as </w:t>
            </w:r>
            <w:r w:rsidR="00847238">
              <w:rPr>
                <w:rFonts w:ascii="Arial" w:hAnsi="Arial"/>
              </w:rPr>
              <w:t>rostered and</w:t>
            </w:r>
            <w:r>
              <w:rPr>
                <w:rFonts w:ascii="Arial" w:hAnsi="Arial"/>
              </w:rPr>
              <w:t xml:space="preserve"> be available to round on these patients that morning.</w:t>
            </w:r>
          </w:p>
          <w:p w14:paraId="36F09715" w14:textId="77777777" w:rsidR="00A139D2" w:rsidRDefault="00A139D2" w:rsidP="00A139D2">
            <w:pPr>
              <w:numPr>
                <w:ilvl w:val="0"/>
                <w:numId w:val="19"/>
              </w:numPr>
              <w:spacing w:after="120" w:line="240" w:lineRule="auto"/>
              <w:rPr>
                <w:rFonts w:ascii="Arial" w:hAnsi="Arial"/>
                <w:i/>
              </w:rPr>
            </w:pPr>
            <w:r>
              <w:rPr>
                <w:rFonts w:ascii="Arial" w:hAnsi="Arial"/>
              </w:rPr>
              <w:lastRenderedPageBreak/>
              <w:t>Oversee the daily board meeting [8.30 am] with the nursing and appropriate allied health staff (i.e. OT, Physio etc) on home-ward, to discuss patient management and discharge planning.  Preferably attend this yourself.</w:t>
            </w:r>
          </w:p>
          <w:p w14:paraId="46E0DBBE" w14:textId="77777777" w:rsidR="00A139D2" w:rsidRDefault="00A139D2" w:rsidP="00A139D2">
            <w:pPr>
              <w:numPr>
                <w:ilvl w:val="0"/>
                <w:numId w:val="19"/>
              </w:numPr>
              <w:spacing w:after="120" w:line="240" w:lineRule="auto"/>
              <w:rPr>
                <w:rFonts w:ascii="Arial" w:hAnsi="Arial"/>
                <w:i/>
              </w:rPr>
            </w:pPr>
            <w:r>
              <w:rPr>
                <w:rFonts w:ascii="Arial" w:hAnsi="Arial"/>
              </w:rPr>
              <w:t>Ensure patients are managed and discharged appropriately during the week.  This will require at least 3 morning rounds in addition to the post-take round.  Weekend discharges and handing over of unwell patients to duty-staff must be must be arranged on Friday.</w:t>
            </w:r>
          </w:p>
          <w:p w14:paraId="3B5ADD11" w14:textId="77777777" w:rsidR="00A139D2" w:rsidRDefault="00A139D2" w:rsidP="00A139D2">
            <w:pPr>
              <w:numPr>
                <w:ilvl w:val="0"/>
                <w:numId w:val="19"/>
              </w:numPr>
              <w:spacing w:after="120" w:line="240" w:lineRule="auto"/>
              <w:rPr>
                <w:rFonts w:ascii="Arial" w:hAnsi="Arial"/>
                <w:i/>
              </w:rPr>
            </w:pPr>
            <w:r>
              <w:rPr>
                <w:rFonts w:ascii="Arial" w:hAnsi="Arial"/>
              </w:rPr>
              <w:t>A discharge summary is required to be sent to the patients’ General Practitioner within 24 hours of discharge.  The RMO’s will type this, but the consultant is responsible for ensuring that the diagnoses are correct and that all necessary information, including late results are provided in these summaries.</w:t>
            </w:r>
          </w:p>
          <w:p w14:paraId="27DFB53C" w14:textId="77777777" w:rsidR="00A139D2" w:rsidRPr="008A30FF" w:rsidRDefault="00A139D2" w:rsidP="00A139D2">
            <w:pPr>
              <w:numPr>
                <w:ilvl w:val="0"/>
                <w:numId w:val="19"/>
              </w:numPr>
              <w:spacing w:after="120" w:line="240" w:lineRule="auto"/>
              <w:rPr>
                <w:rFonts w:ascii="Arial" w:hAnsi="Arial"/>
                <w:i/>
              </w:rPr>
            </w:pPr>
            <w:r>
              <w:rPr>
                <w:rFonts w:ascii="Arial" w:hAnsi="Arial"/>
              </w:rPr>
              <w:t>Ensure appropriate follow-up arrangements following discharge. This may be organised through the General Practitioner or medical outpatients.  If subspecialty follow-up is required, ensure a copy of the discharge letter plus a referral letter is done.</w:t>
            </w:r>
          </w:p>
          <w:p w14:paraId="4C389364" w14:textId="77777777" w:rsidR="00A139D2" w:rsidRDefault="00A139D2" w:rsidP="00A139D2">
            <w:pPr>
              <w:numPr>
                <w:ilvl w:val="0"/>
                <w:numId w:val="19"/>
              </w:numPr>
              <w:spacing w:after="120" w:line="240" w:lineRule="auto"/>
              <w:rPr>
                <w:rFonts w:ascii="Arial" w:hAnsi="Arial"/>
                <w:i/>
              </w:rPr>
            </w:pPr>
            <w:r>
              <w:rPr>
                <w:rFonts w:ascii="Arial" w:hAnsi="Arial"/>
              </w:rPr>
              <w:t xml:space="preserve">Additional work, including </w:t>
            </w:r>
            <w:proofErr w:type="gramStart"/>
            <w:r>
              <w:rPr>
                <w:rFonts w:ascii="Arial" w:hAnsi="Arial"/>
              </w:rPr>
              <w:t>outpatients</w:t>
            </w:r>
            <w:proofErr w:type="gramEnd"/>
            <w:r>
              <w:rPr>
                <w:rFonts w:ascii="Arial" w:hAnsi="Arial"/>
              </w:rPr>
              <w:t xml:space="preserve"> clinics and extra on-call duties, may be arranged depending on the job-size.</w:t>
            </w:r>
          </w:p>
          <w:p w14:paraId="317B3FF1" w14:textId="77777777" w:rsidR="00A139D2" w:rsidRDefault="00A139D2" w:rsidP="004074CC">
            <w:pPr>
              <w:spacing w:after="120"/>
              <w:rPr>
                <w:rFonts w:ascii="Arial" w:hAnsi="Arial"/>
              </w:rPr>
            </w:pPr>
          </w:p>
        </w:tc>
      </w:tr>
      <w:tr w:rsidR="00A139D2" w14:paraId="53ACAC75" w14:textId="77777777" w:rsidTr="004074CC">
        <w:tc>
          <w:tcPr>
            <w:tcW w:w="1951" w:type="dxa"/>
          </w:tcPr>
          <w:p w14:paraId="1602A098" w14:textId="77777777" w:rsidR="00A139D2" w:rsidRDefault="00A139D2" w:rsidP="004074CC">
            <w:pPr>
              <w:rPr>
                <w:rFonts w:ascii="Arial" w:hAnsi="Arial"/>
              </w:rPr>
            </w:pPr>
            <w:r>
              <w:rPr>
                <w:rFonts w:ascii="Arial" w:hAnsi="Arial"/>
              </w:rPr>
              <w:lastRenderedPageBreak/>
              <w:t>Task</w:t>
            </w:r>
          </w:p>
        </w:tc>
        <w:tc>
          <w:tcPr>
            <w:tcW w:w="7292" w:type="dxa"/>
            <w:tcBorders>
              <w:top w:val="single" w:sz="6" w:space="0" w:color="auto"/>
              <w:left w:val="single" w:sz="6" w:space="0" w:color="auto"/>
              <w:bottom w:val="single" w:sz="6" w:space="0" w:color="auto"/>
              <w:right w:val="single" w:sz="6" w:space="0" w:color="auto"/>
            </w:tcBorders>
          </w:tcPr>
          <w:p w14:paraId="7DD79CF0" w14:textId="77777777" w:rsidR="00A139D2" w:rsidRDefault="00A139D2" w:rsidP="004074CC">
            <w:pPr>
              <w:rPr>
                <w:rFonts w:ascii="Arial" w:hAnsi="Arial"/>
                <w:b/>
              </w:rPr>
            </w:pPr>
            <w:r>
              <w:rPr>
                <w:rFonts w:ascii="Arial" w:hAnsi="Arial"/>
                <w:b/>
              </w:rPr>
              <w:t>Clinical Support, Teaching and Administrative Responsibilities (the amount of each of these activities may vary from time to time by agreement)</w:t>
            </w:r>
            <w:r>
              <w:t xml:space="preserve">. </w:t>
            </w:r>
          </w:p>
        </w:tc>
      </w:tr>
      <w:tr w:rsidR="00A139D2" w14:paraId="1A0364F0" w14:textId="77777777" w:rsidTr="004074CC">
        <w:tc>
          <w:tcPr>
            <w:tcW w:w="1951" w:type="dxa"/>
          </w:tcPr>
          <w:p w14:paraId="2260D55B" w14:textId="77777777" w:rsidR="00A139D2" w:rsidRDefault="00A139D2" w:rsidP="004074CC">
            <w:pPr>
              <w:rPr>
                <w:rFonts w:ascii="Arial" w:hAnsi="Arial"/>
              </w:rPr>
            </w:pPr>
            <w:r>
              <w:rPr>
                <w:rFonts w:ascii="Arial" w:hAnsi="Arial"/>
              </w:rPr>
              <w:t>Expected Result</w:t>
            </w:r>
          </w:p>
        </w:tc>
        <w:tc>
          <w:tcPr>
            <w:tcW w:w="7292" w:type="dxa"/>
            <w:tcBorders>
              <w:top w:val="single" w:sz="6" w:space="0" w:color="auto"/>
              <w:left w:val="single" w:sz="6" w:space="0" w:color="auto"/>
              <w:bottom w:val="single" w:sz="6" w:space="0" w:color="auto"/>
              <w:right w:val="single" w:sz="6" w:space="0" w:color="auto"/>
            </w:tcBorders>
          </w:tcPr>
          <w:p w14:paraId="77E5B728" w14:textId="77777777" w:rsidR="00A139D2" w:rsidRDefault="00A139D2" w:rsidP="00A139D2">
            <w:pPr>
              <w:numPr>
                <w:ilvl w:val="0"/>
                <w:numId w:val="20"/>
              </w:numPr>
              <w:spacing w:after="120" w:line="240" w:lineRule="auto"/>
              <w:rPr>
                <w:rFonts w:ascii="Arial" w:hAnsi="Arial"/>
              </w:rPr>
            </w:pPr>
            <w:r>
              <w:rPr>
                <w:rFonts w:ascii="Arial" w:hAnsi="Arial"/>
              </w:rPr>
              <w:t>Supervision and teaching of 5</w:t>
            </w:r>
            <w:r w:rsidRPr="008A30FF">
              <w:rPr>
                <w:rFonts w:ascii="Arial" w:hAnsi="Arial"/>
                <w:vertAlign w:val="superscript"/>
              </w:rPr>
              <w:t>th</w:t>
            </w:r>
            <w:r>
              <w:rPr>
                <w:rFonts w:ascii="Arial" w:hAnsi="Arial"/>
              </w:rPr>
              <w:t xml:space="preserve"> year students, Trainee Interns, Registrars and House Surgeons.</w:t>
            </w:r>
          </w:p>
          <w:p w14:paraId="42B07517" w14:textId="77777777" w:rsidR="00A139D2" w:rsidRDefault="00A139D2" w:rsidP="00A139D2">
            <w:pPr>
              <w:numPr>
                <w:ilvl w:val="0"/>
                <w:numId w:val="20"/>
              </w:numPr>
              <w:spacing w:after="120" w:line="240" w:lineRule="auto"/>
              <w:rPr>
                <w:rFonts w:ascii="Arial" w:hAnsi="Arial"/>
              </w:rPr>
            </w:pPr>
            <w:r>
              <w:rPr>
                <w:rFonts w:ascii="Arial" w:hAnsi="Arial"/>
              </w:rPr>
              <w:t>Attendance and participation in monthly department meetings and weekly Grand Rounds.</w:t>
            </w:r>
          </w:p>
          <w:p w14:paraId="0688BB11" w14:textId="77777777" w:rsidR="00A139D2" w:rsidRDefault="00A139D2" w:rsidP="00A139D2">
            <w:pPr>
              <w:numPr>
                <w:ilvl w:val="0"/>
                <w:numId w:val="20"/>
              </w:numPr>
              <w:spacing w:after="120" w:line="240" w:lineRule="auto"/>
              <w:rPr>
                <w:rFonts w:ascii="Arial" w:hAnsi="Arial"/>
              </w:rPr>
            </w:pPr>
            <w:r>
              <w:rPr>
                <w:rFonts w:ascii="Arial" w:hAnsi="Arial"/>
              </w:rPr>
              <w:t>Continuing Education, peer review and clinical audits.</w:t>
            </w:r>
          </w:p>
          <w:p w14:paraId="467D2822" w14:textId="77777777" w:rsidR="00A139D2" w:rsidRDefault="00A139D2" w:rsidP="00A139D2">
            <w:pPr>
              <w:numPr>
                <w:ilvl w:val="0"/>
                <w:numId w:val="20"/>
              </w:numPr>
              <w:spacing w:after="120" w:line="240" w:lineRule="auto"/>
              <w:rPr>
                <w:rFonts w:ascii="Arial" w:hAnsi="Arial"/>
              </w:rPr>
            </w:pPr>
            <w:r>
              <w:rPr>
                <w:rFonts w:ascii="Arial" w:hAnsi="Arial"/>
              </w:rPr>
              <w:t>Service related audit.</w:t>
            </w:r>
          </w:p>
          <w:p w14:paraId="4A797997" w14:textId="77777777" w:rsidR="00A139D2" w:rsidRDefault="00A139D2" w:rsidP="00A139D2">
            <w:pPr>
              <w:numPr>
                <w:ilvl w:val="0"/>
                <w:numId w:val="20"/>
              </w:numPr>
              <w:spacing w:after="120" w:line="240" w:lineRule="auto"/>
              <w:rPr>
                <w:rFonts w:ascii="Arial" w:hAnsi="Arial"/>
              </w:rPr>
            </w:pPr>
            <w:r>
              <w:rPr>
                <w:rFonts w:ascii="Arial" w:hAnsi="Arial"/>
              </w:rPr>
              <w:t>Teaching of medical, nursing and other staff.</w:t>
            </w:r>
          </w:p>
          <w:p w14:paraId="313A7C82" w14:textId="77777777" w:rsidR="00A139D2" w:rsidRDefault="00A139D2" w:rsidP="00A139D2">
            <w:pPr>
              <w:numPr>
                <w:ilvl w:val="0"/>
                <w:numId w:val="21"/>
              </w:numPr>
              <w:spacing w:after="0" w:line="240" w:lineRule="auto"/>
              <w:rPr>
                <w:rFonts w:ascii="Arial" w:hAnsi="Arial"/>
              </w:rPr>
            </w:pPr>
            <w:r>
              <w:rPr>
                <w:rFonts w:ascii="Arial" w:hAnsi="Arial"/>
              </w:rPr>
              <w:t xml:space="preserve">The Physician will undertake other duties as reasonably requested by the Clinical/Medical Director or General Manager - </w:t>
            </w:r>
            <w:smartTag w:uri="urn:schemas-microsoft-com:office:smarttags" w:element="PlaceName">
              <w:r>
                <w:rPr>
                  <w:rFonts w:ascii="Arial" w:hAnsi="Arial"/>
                </w:rPr>
                <w:t>Christchurch</w:t>
              </w:r>
            </w:smartTag>
            <w:r>
              <w:rPr>
                <w:rFonts w:ascii="Arial" w:hAnsi="Arial"/>
              </w:rPr>
              <w:t xml:space="preserve"> Hospital, from time to time.</w:t>
            </w:r>
          </w:p>
          <w:p w14:paraId="2BC75B39" w14:textId="77777777" w:rsidR="00A139D2" w:rsidRDefault="00A139D2" w:rsidP="004074CC">
            <w:pPr>
              <w:spacing w:after="120"/>
              <w:rPr>
                <w:rFonts w:ascii="Arial" w:hAnsi="Arial"/>
              </w:rPr>
            </w:pPr>
          </w:p>
        </w:tc>
      </w:tr>
      <w:tr w:rsidR="00A139D2" w14:paraId="53C6C5CB" w14:textId="77777777" w:rsidTr="004074CC">
        <w:tc>
          <w:tcPr>
            <w:tcW w:w="1951" w:type="dxa"/>
          </w:tcPr>
          <w:p w14:paraId="0F440CC1" w14:textId="77777777" w:rsidR="00A139D2" w:rsidRDefault="00A139D2" w:rsidP="004074CC">
            <w:pPr>
              <w:rPr>
                <w:rFonts w:ascii="Arial" w:hAnsi="Arial"/>
              </w:rPr>
            </w:pPr>
            <w:r>
              <w:rPr>
                <w:rFonts w:ascii="Arial" w:hAnsi="Arial"/>
              </w:rPr>
              <w:t>Task</w:t>
            </w:r>
          </w:p>
        </w:tc>
        <w:tc>
          <w:tcPr>
            <w:tcW w:w="7292" w:type="dxa"/>
            <w:tcBorders>
              <w:top w:val="single" w:sz="6" w:space="0" w:color="auto"/>
              <w:left w:val="single" w:sz="6" w:space="0" w:color="auto"/>
              <w:bottom w:val="single" w:sz="6" w:space="0" w:color="auto"/>
              <w:right w:val="single" w:sz="6" w:space="0" w:color="auto"/>
            </w:tcBorders>
          </w:tcPr>
          <w:p w14:paraId="40A9F91E" w14:textId="77777777" w:rsidR="00A139D2" w:rsidRDefault="00A139D2" w:rsidP="004074CC">
            <w:pPr>
              <w:rPr>
                <w:rFonts w:ascii="Arial" w:hAnsi="Arial"/>
                <w:b/>
              </w:rPr>
            </w:pPr>
            <w:r>
              <w:rPr>
                <w:rFonts w:ascii="Arial" w:hAnsi="Arial"/>
                <w:b/>
              </w:rPr>
              <w:t>Outpatient Clinic Responsibilities</w:t>
            </w:r>
          </w:p>
        </w:tc>
      </w:tr>
      <w:tr w:rsidR="00A139D2" w14:paraId="11F023E3" w14:textId="77777777" w:rsidTr="004074CC">
        <w:tc>
          <w:tcPr>
            <w:tcW w:w="1951" w:type="dxa"/>
          </w:tcPr>
          <w:p w14:paraId="0B9EEB0B" w14:textId="77777777" w:rsidR="00A139D2" w:rsidRDefault="00A139D2" w:rsidP="004074CC">
            <w:pPr>
              <w:rPr>
                <w:rFonts w:ascii="Arial" w:hAnsi="Arial"/>
              </w:rPr>
            </w:pPr>
            <w:r>
              <w:rPr>
                <w:rFonts w:ascii="Arial" w:hAnsi="Arial"/>
              </w:rPr>
              <w:t>Expected Result</w:t>
            </w:r>
          </w:p>
        </w:tc>
        <w:tc>
          <w:tcPr>
            <w:tcW w:w="7292" w:type="dxa"/>
            <w:tcBorders>
              <w:top w:val="single" w:sz="6" w:space="0" w:color="auto"/>
              <w:left w:val="single" w:sz="6" w:space="0" w:color="auto"/>
              <w:bottom w:val="single" w:sz="6" w:space="0" w:color="auto"/>
              <w:right w:val="single" w:sz="6" w:space="0" w:color="auto"/>
            </w:tcBorders>
          </w:tcPr>
          <w:p w14:paraId="6AABC6DB" w14:textId="77777777" w:rsidR="00A139D2" w:rsidRPr="00E328D8" w:rsidRDefault="00A139D2" w:rsidP="00A139D2">
            <w:pPr>
              <w:numPr>
                <w:ilvl w:val="0"/>
                <w:numId w:val="22"/>
              </w:numPr>
              <w:tabs>
                <w:tab w:val="clear" w:pos="720"/>
                <w:tab w:val="num" w:pos="34"/>
              </w:tabs>
              <w:spacing w:after="0" w:line="240" w:lineRule="auto"/>
              <w:ind w:left="459" w:hanging="425"/>
              <w:rPr>
                <w:rFonts w:ascii="Arial" w:hAnsi="Arial"/>
              </w:rPr>
            </w:pPr>
            <w:r>
              <w:rPr>
                <w:rFonts w:ascii="Arial" w:hAnsi="Arial"/>
              </w:rPr>
              <w:t>Participation in General Clinic and triaging of referrals from primary care.</w:t>
            </w:r>
          </w:p>
          <w:p w14:paraId="5AF8B2CC" w14:textId="77777777" w:rsidR="00A139D2" w:rsidRPr="00A139D2" w:rsidRDefault="00A139D2" w:rsidP="004074CC">
            <w:pPr>
              <w:numPr>
                <w:ilvl w:val="0"/>
                <w:numId w:val="22"/>
              </w:numPr>
              <w:tabs>
                <w:tab w:val="clear" w:pos="720"/>
                <w:tab w:val="num" w:pos="34"/>
              </w:tabs>
              <w:spacing w:after="0" w:line="240" w:lineRule="auto"/>
              <w:ind w:left="459" w:hanging="425"/>
              <w:rPr>
                <w:rFonts w:ascii="Arial" w:hAnsi="Arial"/>
              </w:rPr>
            </w:pPr>
            <w:r>
              <w:rPr>
                <w:rFonts w:ascii="Arial" w:hAnsi="Arial"/>
              </w:rPr>
              <w:t>One weekly clinic will be sized at 0.1 FTE, which will be additional to the FTE required for the acute role.</w:t>
            </w:r>
          </w:p>
        </w:tc>
      </w:tr>
    </w:tbl>
    <w:p w14:paraId="449D84E5" w14:textId="77777777" w:rsidR="00A139D2" w:rsidRPr="002C4DDC" w:rsidRDefault="00A139D2" w:rsidP="00DF3A52">
      <w:pPr>
        <w:spacing w:after="0"/>
        <w:rPr>
          <w:rFonts w:ascii="Arial" w:hAnsi="Arial" w:cs="Arial"/>
        </w:rPr>
      </w:pPr>
    </w:p>
    <w:tbl>
      <w:tblPr>
        <w:tblW w:w="9026" w:type="dxa"/>
        <w:tblBorders>
          <w:top w:val="single" w:sz="4" w:space="0" w:color="7F7F7F"/>
          <w:bottom w:val="single" w:sz="4" w:space="0" w:color="7F7F7F"/>
        </w:tblBorders>
        <w:tblLook w:val="00A0" w:firstRow="1" w:lastRow="0" w:firstColumn="1" w:lastColumn="0" w:noHBand="0" w:noVBand="0"/>
      </w:tblPr>
      <w:tblGrid>
        <w:gridCol w:w="1985"/>
        <w:gridCol w:w="7041"/>
      </w:tblGrid>
      <w:tr w:rsidR="00DF3A52" w:rsidRPr="002C4DDC" w14:paraId="766D39B4" w14:textId="77777777" w:rsidTr="00525B80">
        <w:trPr>
          <w:trHeight w:val="1677"/>
        </w:trPr>
        <w:tc>
          <w:tcPr>
            <w:tcW w:w="1985" w:type="dxa"/>
            <w:tcBorders>
              <w:top w:val="single" w:sz="4" w:space="0" w:color="D9D9D9"/>
              <w:bottom w:val="single" w:sz="4" w:space="0" w:color="D9D9D9"/>
              <w:right w:val="single" w:sz="4" w:space="0" w:color="D9D9D9"/>
            </w:tcBorders>
          </w:tcPr>
          <w:p w14:paraId="6A001F54" w14:textId="77777777" w:rsidR="00DF3A52" w:rsidRPr="002C4DDC" w:rsidRDefault="00DF3A52" w:rsidP="00B9274B">
            <w:pPr>
              <w:spacing w:after="0" w:line="240" w:lineRule="auto"/>
              <w:rPr>
                <w:rFonts w:ascii="Arial" w:hAnsi="Arial" w:cs="Arial"/>
                <w:b/>
                <w:bCs/>
              </w:rPr>
            </w:pPr>
            <w:bookmarkStart w:id="1" w:name="_Hlk104804046"/>
            <w:r w:rsidRPr="002C4DDC">
              <w:rPr>
                <w:rFonts w:ascii="Arial" w:hAnsi="Arial" w:cs="Arial"/>
                <w:b/>
                <w:bCs/>
              </w:rPr>
              <w:lastRenderedPageBreak/>
              <w:t xml:space="preserve">Te </w:t>
            </w:r>
            <w:proofErr w:type="spellStart"/>
            <w:r w:rsidRPr="002C4DDC">
              <w:rPr>
                <w:rFonts w:ascii="Arial" w:hAnsi="Arial" w:cs="Arial"/>
                <w:b/>
                <w:bCs/>
              </w:rPr>
              <w:t>Tiriti</w:t>
            </w:r>
            <w:proofErr w:type="spellEnd"/>
            <w:r w:rsidRPr="002C4DDC">
              <w:rPr>
                <w:rFonts w:ascii="Arial" w:hAnsi="Arial" w:cs="Arial"/>
                <w:b/>
                <w:bCs/>
              </w:rPr>
              <w:t xml:space="preserve"> o Waitangi</w:t>
            </w:r>
          </w:p>
        </w:tc>
        <w:tc>
          <w:tcPr>
            <w:tcW w:w="7041" w:type="dxa"/>
            <w:tcBorders>
              <w:top w:val="single" w:sz="4" w:space="0" w:color="D9D9D9"/>
              <w:left w:val="single" w:sz="4" w:space="0" w:color="D9D9D9"/>
              <w:bottom w:val="single" w:sz="4" w:space="0" w:color="D9D9D9"/>
            </w:tcBorders>
          </w:tcPr>
          <w:p w14:paraId="21BEC710" w14:textId="77777777"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2EE779B8" w14:textId="77777777"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Supports tangata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motuhake and Māori self-determination in the design, delivery and monitoring of health </w:t>
            </w:r>
            <w:r w:rsidR="002D1098" w:rsidRPr="000B3E62">
              <w:rPr>
                <w:rFonts w:ascii="Arial" w:eastAsia="Segoe UI" w:hAnsi="Arial" w:cs="Arial"/>
              </w:rPr>
              <w:t>care.</w:t>
            </w:r>
          </w:p>
          <w:p w14:paraId="01355792" w14:textId="77777777"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Actively supports kaimahi Māori by improving attraction, recruitment, retention, development, and leadership</w:t>
            </w:r>
            <w:r w:rsidR="002D1098" w:rsidRPr="000B3E62">
              <w:rPr>
                <w:rFonts w:ascii="Arial" w:eastAsia="Segoe UI" w:hAnsi="Arial" w:cs="Arial"/>
              </w:rPr>
              <w:t>.</w:t>
            </w:r>
          </w:p>
        </w:tc>
      </w:tr>
      <w:tr w:rsidR="00DF3A52" w:rsidRPr="002C4DDC" w14:paraId="1666EC72" w14:textId="77777777" w:rsidTr="00525B80">
        <w:trPr>
          <w:trHeight w:val="2028"/>
        </w:trPr>
        <w:tc>
          <w:tcPr>
            <w:tcW w:w="1985" w:type="dxa"/>
            <w:tcBorders>
              <w:top w:val="single" w:sz="4" w:space="0" w:color="D9D9D9"/>
              <w:bottom w:val="single" w:sz="4" w:space="0" w:color="D9D9D9"/>
              <w:right w:val="single" w:sz="4" w:space="0" w:color="D9D9D9"/>
            </w:tcBorders>
          </w:tcPr>
          <w:p w14:paraId="574B9B09" w14:textId="77777777" w:rsidR="00DF3A52" w:rsidRPr="002C4DDC" w:rsidRDefault="00DF3A52" w:rsidP="00B9274B">
            <w:pPr>
              <w:spacing w:after="0" w:line="240" w:lineRule="auto"/>
              <w:rPr>
                <w:rFonts w:ascii="Arial" w:hAnsi="Arial" w:cs="Arial"/>
                <w:b/>
                <w:bCs/>
              </w:rPr>
            </w:pPr>
            <w:r w:rsidRPr="002C4DDC">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0A879C30" w14:textId="77777777"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0F7F90D7" w14:textId="77777777"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awareness of colonisation and power relationships</w:t>
            </w:r>
            <w:r w:rsidR="002D1098" w:rsidRPr="000B3E62">
              <w:rPr>
                <w:rFonts w:ascii="Arial" w:eastAsia="Segoe UI" w:hAnsi="Arial" w:cs="Arial"/>
              </w:rPr>
              <w:t>.</w:t>
            </w:r>
          </w:p>
          <w:p w14:paraId="2BE452CF" w14:textId="77777777"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critical consciousness and on-going self-reflection and self-awareness in terms of the impact of their own culture on interactions and service delivery</w:t>
            </w:r>
            <w:r w:rsidR="002D1098" w:rsidRPr="000B3E62">
              <w:rPr>
                <w:rFonts w:ascii="Arial" w:eastAsia="Segoe UI" w:hAnsi="Arial" w:cs="Arial"/>
              </w:rPr>
              <w:t>.</w:t>
            </w:r>
          </w:p>
          <w:p w14:paraId="7149ACB5" w14:textId="77777777" w:rsidR="00B05B12" w:rsidRPr="000B3E62"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w:t>
            </w:r>
            <w:r w:rsidR="00B05B12" w:rsidRPr="000B3E62">
              <w:rPr>
                <w:rFonts w:ascii="Arial" w:eastAsia="Segoe UI" w:hAnsi="Arial" w:cs="Arial"/>
              </w:rPr>
              <w:t>illingness to personally take a stand for equity</w:t>
            </w:r>
            <w:r w:rsidR="002D1098" w:rsidRPr="000B3E62">
              <w:rPr>
                <w:rFonts w:ascii="Arial" w:eastAsia="Segoe UI" w:hAnsi="Arial" w:cs="Arial"/>
              </w:rPr>
              <w:t>.</w:t>
            </w:r>
          </w:p>
          <w:p w14:paraId="32738FF8" w14:textId="77777777"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Māori-led </w:t>
            </w:r>
            <w:r w:rsidR="00D549CB" w:rsidRPr="000B3E62">
              <w:rPr>
                <w:rFonts w:ascii="Arial" w:eastAsia="Segoe UI" w:hAnsi="Arial" w:cs="Arial"/>
              </w:rPr>
              <w:t xml:space="preserve">and Pacific-led </w:t>
            </w:r>
            <w:r w:rsidRPr="000B3E62">
              <w:rPr>
                <w:rFonts w:ascii="Arial" w:eastAsia="Segoe UI" w:hAnsi="Arial" w:cs="Arial"/>
              </w:rPr>
              <w:t>responses</w:t>
            </w:r>
            <w:r w:rsidR="00A2453D" w:rsidRPr="000B3E62">
              <w:rPr>
                <w:rFonts w:ascii="Arial" w:eastAsia="Segoe UI" w:hAnsi="Arial" w:cs="Arial"/>
              </w:rPr>
              <w:t>.</w:t>
            </w:r>
          </w:p>
        </w:tc>
      </w:tr>
      <w:tr w:rsidR="004D54CC" w:rsidRPr="002C4DDC" w14:paraId="258B7D5E" w14:textId="77777777" w:rsidTr="00525B80">
        <w:trPr>
          <w:trHeight w:val="274"/>
        </w:trPr>
        <w:tc>
          <w:tcPr>
            <w:tcW w:w="1985" w:type="dxa"/>
            <w:tcBorders>
              <w:top w:val="single" w:sz="4" w:space="0" w:color="D9D9D9"/>
              <w:bottom w:val="single" w:sz="4" w:space="0" w:color="D9D9D9"/>
              <w:right w:val="single" w:sz="4" w:space="0" w:color="D9D9D9"/>
            </w:tcBorders>
          </w:tcPr>
          <w:p w14:paraId="0589929B" w14:textId="77777777" w:rsidR="004D54CC" w:rsidRPr="002C4DDC" w:rsidRDefault="004D54CC" w:rsidP="00D45004">
            <w:pPr>
              <w:spacing w:after="0" w:line="240" w:lineRule="auto"/>
              <w:rPr>
                <w:rFonts w:ascii="Arial" w:hAnsi="Arial" w:cs="Arial"/>
                <w:b/>
                <w:bCs/>
              </w:rPr>
            </w:pPr>
            <w:r w:rsidRPr="002C4DDC">
              <w:rPr>
                <w:rFonts w:ascii="Arial" w:hAnsi="Arial" w:cs="Arial"/>
                <w:b/>
                <w:bCs/>
              </w:rPr>
              <w:t>Innovation &amp; Improvement</w:t>
            </w:r>
          </w:p>
        </w:tc>
        <w:tc>
          <w:tcPr>
            <w:tcW w:w="7041" w:type="dxa"/>
            <w:tcBorders>
              <w:top w:val="single" w:sz="4" w:space="0" w:color="D9D9D9"/>
              <w:left w:val="single" w:sz="4" w:space="0" w:color="D9D9D9"/>
              <w:bottom w:val="single" w:sz="4" w:space="0" w:color="D9D9D9"/>
            </w:tcBorders>
          </w:tcPr>
          <w:p w14:paraId="09C9F8D6" w14:textId="77777777" w:rsidR="004D54CC" w:rsidRPr="00BD6E9D" w:rsidRDefault="001727F4" w:rsidP="000B3E62">
            <w:pPr>
              <w:pStyle w:val="ListParagraph"/>
              <w:numPr>
                <w:ilvl w:val="0"/>
                <w:numId w:val="17"/>
              </w:numPr>
              <w:spacing w:after="0" w:line="240" w:lineRule="auto"/>
              <w:contextualSpacing w:val="0"/>
              <w:jc w:val="both"/>
              <w:rPr>
                <w:rFonts w:ascii="Arial" w:eastAsia="Segoe UI" w:hAnsi="Arial" w:cs="Arial"/>
              </w:rPr>
            </w:pPr>
            <w:r w:rsidRPr="00BD6E9D">
              <w:rPr>
                <w:rFonts w:ascii="Arial" w:eastAsia="Segoe UI" w:hAnsi="Arial" w:cs="Arial"/>
              </w:rPr>
              <w:t>Is</w:t>
            </w:r>
            <w:r w:rsidR="004D54CC" w:rsidRPr="00BD6E9D">
              <w:rPr>
                <w:rFonts w:ascii="Arial" w:eastAsia="Segoe UI" w:hAnsi="Arial" w:cs="Arial"/>
              </w:rPr>
              <w:t xml:space="preserve"> open to new ideas and create a culture where individuals at all levels bring their ideas on how to ‘do it better’ to the table</w:t>
            </w:r>
            <w:r w:rsidR="00A2453D" w:rsidRPr="00BD6E9D">
              <w:rPr>
                <w:rFonts w:ascii="Arial" w:eastAsia="Segoe UI" w:hAnsi="Arial" w:cs="Arial"/>
              </w:rPr>
              <w:t>.</w:t>
            </w:r>
          </w:p>
          <w:p w14:paraId="245BE9E2" w14:textId="77777777" w:rsidR="004D54CC" w:rsidRPr="00BD6E9D" w:rsidRDefault="0099474D" w:rsidP="000B3E62">
            <w:pPr>
              <w:pStyle w:val="ListParagraph"/>
              <w:numPr>
                <w:ilvl w:val="0"/>
                <w:numId w:val="17"/>
              </w:numPr>
              <w:spacing w:after="0" w:line="240" w:lineRule="auto"/>
              <w:contextualSpacing w:val="0"/>
              <w:jc w:val="both"/>
              <w:rPr>
                <w:rFonts w:ascii="Arial" w:eastAsia="Segoe UI" w:hAnsi="Arial" w:cs="Arial"/>
              </w:rPr>
            </w:pPr>
            <w:r w:rsidRPr="00BD6E9D">
              <w:rPr>
                <w:rFonts w:ascii="Arial" w:eastAsia="Segoe UI" w:hAnsi="Arial" w:cs="Arial"/>
              </w:rPr>
              <w:t>Model</w:t>
            </w:r>
            <w:r w:rsidR="001727F4" w:rsidRPr="00BD6E9D">
              <w:rPr>
                <w:rFonts w:ascii="Arial" w:eastAsia="Segoe UI" w:hAnsi="Arial" w:cs="Arial"/>
              </w:rPr>
              <w:t>s</w:t>
            </w:r>
            <w:r w:rsidRPr="00BD6E9D">
              <w:rPr>
                <w:rFonts w:ascii="Arial" w:eastAsia="Segoe UI" w:hAnsi="Arial" w:cs="Arial"/>
              </w:rPr>
              <w:t xml:space="preserve"> an agile </w:t>
            </w:r>
            <w:r w:rsidR="004D54CC" w:rsidRPr="00BD6E9D">
              <w:rPr>
                <w:rFonts w:ascii="Arial" w:eastAsia="Segoe UI" w:hAnsi="Arial" w:cs="Arial"/>
              </w:rPr>
              <w:t xml:space="preserve">approach </w:t>
            </w:r>
            <w:r w:rsidR="009B40C5" w:rsidRPr="00BD6E9D">
              <w:rPr>
                <w:rFonts w:ascii="Arial" w:eastAsia="Segoe UI" w:hAnsi="Arial" w:cs="Arial"/>
              </w:rPr>
              <w:t>–</w:t>
            </w:r>
            <w:r w:rsidR="00BD6E9D">
              <w:rPr>
                <w:rFonts w:ascii="Arial" w:eastAsia="Segoe UI" w:hAnsi="Arial" w:cs="Arial"/>
              </w:rPr>
              <w:t xml:space="preserve"> </w:t>
            </w:r>
            <w:r w:rsidR="004D54CC" w:rsidRPr="00BD6E9D">
              <w:rPr>
                <w:rFonts w:ascii="Arial" w:eastAsia="Segoe UI" w:hAnsi="Arial" w:cs="Arial"/>
              </w:rPr>
              <w:t>tries new approaches, learns quickly, adapts fast</w:t>
            </w:r>
            <w:r w:rsidR="00A2453D" w:rsidRPr="00BD6E9D">
              <w:rPr>
                <w:rFonts w:ascii="Arial" w:eastAsia="Segoe UI" w:hAnsi="Arial" w:cs="Arial"/>
              </w:rPr>
              <w:t>.</w:t>
            </w:r>
          </w:p>
          <w:p w14:paraId="75284928" w14:textId="77777777" w:rsidR="004D54CC" w:rsidRPr="00BD6E9D" w:rsidRDefault="0099474D" w:rsidP="000B3E62">
            <w:pPr>
              <w:pStyle w:val="ListParagraph"/>
              <w:numPr>
                <w:ilvl w:val="0"/>
                <w:numId w:val="17"/>
              </w:numPr>
              <w:spacing w:after="0" w:line="240" w:lineRule="auto"/>
              <w:contextualSpacing w:val="0"/>
              <w:jc w:val="both"/>
              <w:rPr>
                <w:rFonts w:ascii="Arial" w:eastAsia="Segoe UI" w:hAnsi="Arial" w:cs="Arial"/>
              </w:rPr>
            </w:pPr>
            <w:r w:rsidRPr="00BD6E9D">
              <w:rPr>
                <w:rFonts w:ascii="Arial" w:eastAsia="Segoe UI" w:hAnsi="Arial" w:cs="Arial"/>
              </w:rPr>
              <w:t>Develops and maintains appropriate external networks to support current knowledge of leading practices</w:t>
            </w:r>
            <w:r w:rsidR="00A2453D" w:rsidRPr="00BD6E9D">
              <w:rPr>
                <w:rFonts w:ascii="Arial" w:eastAsia="Segoe UI" w:hAnsi="Arial" w:cs="Arial"/>
              </w:rPr>
              <w:t>.</w:t>
            </w:r>
          </w:p>
        </w:tc>
      </w:tr>
      <w:tr w:rsidR="002272EA" w:rsidRPr="002C4DDC" w14:paraId="31F25CF7" w14:textId="77777777" w:rsidTr="00525B80">
        <w:trPr>
          <w:trHeight w:val="841"/>
        </w:trPr>
        <w:tc>
          <w:tcPr>
            <w:tcW w:w="1985" w:type="dxa"/>
            <w:tcBorders>
              <w:top w:val="single" w:sz="4" w:space="0" w:color="D9D9D9"/>
              <w:bottom w:val="single" w:sz="4" w:space="0" w:color="D9D9D9"/>
              <w:right w:val="single" w:sz="4" w:space="0" w:color="D9D9D9"/>
            </w:tcBorders>
          </w:tcPr>
          <w:p w14:paraId="7355401C" w14:textId="77777777" w:rsidR="002272EA" w:rsidRPr="002C4DDC" w:rsidRDefault="002272EA" w:rsidP="00D45004">
            <w:pPr>
              <w:spacing w:after="0" w:line="240" w:lineRule="auto"/>
              <w:rPr>
                <w:rFonts w:ascii="Arial" w:hAnsi="Arial" w:cs="Arial"/>
                <w:b/>
                <w:bCs/>
              </w:rPr>
            </w:pPr>
            <w:r w:rsidRPr="002C4DDC">
              <w:rPr>
                <w:rFonts w:ascii="Arial" w:hAnsi="Arial" w:cs="Arial"/>
                <w:b/>
                <w:bCs/>
              </w:rPr>
              <w:t>Collaboration and Relationship Management</w:t>
            </w:r>
          </w:p>
        </w:tc>
        <w:tc>
          <w:tcPr>
            <w:tcW w:w="7041" w:type="dxa"/>
            <w:tcBorders>
              <w:top w:val="single" w:sz="4" w:space="0" w:color="D9D9D9"/>
              <w:left w:val="single" w:sz="4" w:space="0" w:color="D9D9D9"/>
              <w:bottom w:val="single" w:sz="4" w:space="0" w:color="D9D9D9"/>
            </w:tcBorders>
          </w:tcPr>
          <w:p w14:paraId="28895E85" w14:textId="77777777" w:rsidR="002272EA" w:rsidRPr="00BD6E9D" w:rsidRDefault="002272EA" w:rsidP="000B3E62">
            <w:pPr>
              <w:pStyle w:val="ListParagraph"/>
              <w:numPr>
                <w:ilvl w:val="0"/>
                <w:numId w:val="17"/>
              </w:numPr>
              <w:spacing w:after="0" w:line="240" w:lineRule="auto"/>
              <w:contextualSpacing w:val="0"/>
              <w:jc w:val="both"/>
              <w:rPr>
                <w:rFonts w:ascii="Arial" w:eastAsia="Segoe UI" w:hAnsi="Arial" w:cs="Arial"/>
              </w:rPr>
            </w:pPr>
            <w:bookmarkStart w:id="2" w:name="_Hlk101783703"/>
            <w:r w:rsidRPr="00BD6E9D">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r w:rsidR="00A2453D" w:rsidRPr="00BD6E9D">
              <w:rPr>
                <w:rFonts w:ascii="Arial" w:eastAsia="Segoe UI" w:hAnsi="Arial" w:cs="Arial"/>
              </w:rPr>
              <w:t>.</w:t>
            </w:r>
          </w:p>
          <w:bookmarkEnd w:id="2"/>
          <w:p w14:paraId="38FBE0F8" w14:textId="77777777" w:rsidR="00C70264" w:rsidRPr="00BD6E9D" w:rsidRDefault="002272EA" w:rsidP="000B3E62">
            <w:pPr>
              <w:pStyle w:val="ListParagraph"/>
              <w:numPr>
                <w:ilvl w:val="0"/>
                <w:numId w:val="17"/>
              </w:numPr>
              <w:spacing w:line="240" w:lineRule="auto"/>
              <w:rPr>
                <w:rFonts w:ascii="Arial" w:eastAsia="Segoe UI" w:hAnsi="Arial" w:cs="Arial"/>
              </w:rPr>
            </w:pPr>
            <w:r w:rsidRPr="00BD6E9D">
              <w:rPr>
                <w:rFonts w:ascii="Arial" w:eastAsia="Segoe UI" w:hAnsi="Arial" w:cs="Arial"/>
              </w:rPr>
              <w:t>Work</w:t>
            </w:r>
            <w:r w:rsidR="001727F4" w:rsidRPr="00BD6E9D">
              <w:rPr>
                <w:rFonts w:ascii="Arial" w:eastAsia="Segoe UI" w:hAnsi="Arial" w:cs="Arial"/>
              </w:rPr>
              <w:t>s</w:t>
            </w:r>
            <w:r w:rsidRPr="00BD6E9D">
              <w:rPr>
                <w:rFonts w:ascii="Arial" w:eastAsia="Segoe UI" w:hAnsi="Arial" w:cs="Arial"/>
              </w:rPr>
              <w:t xml:space="preserve"> with peers in </w:t>
            </w:r>
            <w:r w:rsidR="00F5300E" w:rsidRPr="00BD6E9D">
              <w:rPr>
                <w:rFonts w:ascii="Arial" w:eastAsia="Segoe UI" w:hAnsi="Arial" w:cs="Arial"/>
              </w:rPr>
              <w:t>Hauora Māori Service</w:t>
            </w:r>
            <w:r w:rsidR="00DF753A" w:rsidRPr="00BD6E9D">
              <w:rPr>
                <w:rFonts w:ascii="Arial" w:eastAsia="Segoe UI" w:hAnsi="Arial" w:cs="Arial"/>
              </w:rPr>
              <w:t xml:space="preserve"> </w:t>
            </w:r>
            <w:r w:rsidR="001D5DBB" w:rsidRPr="00BD6E9D">
              <w:rPr>
                <w:rFonts w:ascii="Arial" w:eastAsia="Segoe UI" w:hAnsi="Arial" w:cs="Arial"/>
              </w:rPr>
              <w:t xml:space="preserve">and Pacific Health Business Unit </w:t>
            </w:r>
            <w:r w:rsidRPr="00BD6E9D">
              <w:rPr>
                <w:rFonts w:ascii="Arial" w:eastAsia="Segoe UI" w:hAnsi="Arial" w:cs="Arial"/>
              </w:rPr>
              <w:t xml:space="preserve">to ensure the voice of </w:t>
            </w:r>
            <w:r w:rsidR="001D5DBB" w:rsidRPr="00BD6E9D">
              <w:rPr>
                <w:rFonts w:ascii="Arial" w:eastAsia="Segoe UI" w:hAnsi="Arial" w:cs="Arial"/>
              </w:rPr>
              <w:t xml:space="preserve">and </w:t>
            </w:r>
            <w:r w:rsidRPr="00BD6E9D">
              <w:rPr>
                <w:rFonts w:ascii="Arial" w:eastAsia="Segoe UI" w:hAnsi="Arial" w:cs="Arial"/>
              </w:rPr>
              <w:t xml:space="preserve">direct aspirations of Māori </w:t>
            </w:r>
            <w:r w:rsidR="00B21F4A" w:rsidRPr="00BD6E9D">
              <w:rPr>
                <w:rFonts w:ascii="Arial" w:eastAsia="Segoe UI" w:hAnsi="Arial" w:cs="Arial"/>
              </w:rPr>
              <w:t>and</w:t>
            </w:r>
            <w:r w:rsidR="001D5DBB" w:rsidRPr="00BD6E9D">
              <w:rPr>
                <w:rFonts w:ascii="Arial" w:eastAsia="Segoe UI" w:hAnsi="Arial" w:cs="Arial"/>
              </w:rPr>
              <w:t xml:space="preserve"> Pacific People </w:t>
            </w:r>
            <w:r w:rsidRPr="00BD6E9D">
              <w:rPr>
                <w:rFonts w:ascii="Arial" w:eastAsia="Segoe UI" w:hAnsi="Arial" w:cs="Arial"/>
              </w:rPr>
              <w:t>are reflected in planning and delivery of services</w:t>
            </w:r>
            <w:r w:rsidR="00A2453D" w:rsidRPr="00BD6E9D">
              <w:rPr>
                <w:rFonts w:ascii="Arial" w:eastAsia="Segoe UI" w:hAnsi="Arial" w:cs="Arial"/>
              </w:rPr>
              <w:t>.</w:t>
            </w:r>
          </w:p>
        </w:tc>
      </w:tr>
      <w:tr w:rsidR="0065237B" w:rsidRPr="002C4DDC" w14:paraId="6A71AEF7" w14:textId="77777777" w:rsidTr="00525B80">
        <w:trPr>
          <w:trHeight w:val="2449"/>
        </w:trPr>
        <w:tc>
          <w:tcPr>
            <w:tcW w:w="1985" w:type="dxa"/>
            <w:tcBorders>
              <w:top w:val="single" w:sz="4" w:space="0" w:color="D9D9D9"/>
              <w:bottom w:val="single" w:sz="4" w:space="0" w:color="D9D9D9"/>
              <w:right w:val="single" w:sz="4" w:space="0" w:color="D9D9D9"/>
            </w:tcBorders>
          </w:tcPr>
          <w:p w14:paraId="39E54586" w14:textId="77777777" w:rsidR="0065237B" w:rsidRPr="002C4DDC" w:rsidRDefault="0065237B" w:rsidP="0065237B">
            <w:pPr>
              <w:spacing w:after="0" w:line="240" w:lineRule="auto"/>
              <w:rPr>
                <w:rFonts w:ascii="Arial" w:hAnsi="Arial" w:cs="Arial"/>
                <w:b/>
                <w:bCs/>
              </w:rPr>
            </w:pPr>
            <w:r w:rsidRPr="002C4DDC">
              <w:rPr>
                <w:rFonts w:ascii="Arial" w:hAnsi="Arial" w:cs="Arial"/>
                <w:b/>
                <w:bCs/>
              </w:rPr>
              <w:t>Health &amp; safety</w:t>
            </w:r>
          </w:p>
        </w:tc>
        <w:tc>
          <w:tcPr>
            <w:tcW w:w="7041" w:type="dxa"/>
            <w:tcBorders>
              <w:top w:val="single" w:sz="4" w:space="0" w:color="D9D9D9"/>
              <w:left w:val="single" w:sz="4" w:space="0" w:color="D9D9D9"/>
              <w:bottom w:val="single" w:sz="4" w:space="0" w:color="D9D9D9"/>
            </w:tcBorders>
          </w:tcPr>
          <w:p w14:paraId="2BA8FEB2" w14:textId="77777777" w:rsidR="000234C5" w:rsidRPr="00525B80" w:rsidRDefault="000234C5" w:rsidP="000B3E62">
            <w:pPr>
              <w:pStyle w:val="ListParagraph"/>
              <w:numPr>
                <w:ilvl w:val="0"/>
                <w:numId w:val="17"/>
              </w:numPr>
              <w:spacing w:after="0" w:line="240" w:lineRule="auto"/>
              <w:contextualSpacing w:val="0"/>
              <w:jc w:val="both"/>
              <w:rPr>
                <w:rFonts w:ascii="Arial" w:eastAsia="Segoe UI" w:hAnsi="Arial" w:cs="Arial"/>
              </w:rPr>
            </w:pPr>
            <w:r w:rsidRPr="00525B80">
              <w:rPr>
                <w:rFonts w:ascii="Arial" w:eastAsia="Segoe UI" w:hAnsi="Arial" w:cs="Arial"/>
              </w:rPr>
              <w:t>Exercises leadership and due diligence in Health and Safety matters and ensures the successful implementation of Health and Safety strategy and initiatives</w:t>
            </w:r>
            <w:r w:rsidR="00A2453D" w:rsidRPr="00525B80">
              <w:rPr>
                <w:rFonts w:ascii="Arial" w:eastAsia="Segoe UI" w:hAnsi="Arial" w:cs="Arial"/>
              </w:rPr>
              <w:t>.</w:t>
            </w:r>
          </w:p>
          <w:p w14:paraId="0D3FC46A" w14:textId="77777777" w:rsidR="000963B2" w:rsidRDefault="001727F4" w:rsidP="00BD6E9D">
            <w:pPr>
              <w:numPr>
                <w:ilvl w:val="0"/>
                <w:numId w:val="17"/>
              </w:numPr>
              <w:spacing w:before="100" w:beforeAutospacing="1" w:after="100" w:afterAutospacing="1" w:line="240" w:lineRule="auto"/>
              <w:jc w:val="both"/>
              <w:rPr>
                <w:rFonts w:ascii="Arial" w:eastAsia="Segoe UI" w:hAnsi="Arial" w:cs="Arial"/>
              </w:rPr>
            </w:pPr>
            <w:r w:rsidRPr="00BD6E9D">
              <w:rPr>
                <w:rFonts w:ascii="Arial" w:eastAsia="Segoe UI" w:hAnsi="Arial" w:cs="Arial"/>
              </w:rPr>
              <w:t>Takes</w:t>
            </w:r>
            <w:r w:rsidR="002272EA" w:rsidRPr="00BD6E9D">
              <w:rPr>
                <w:rFonts w:ascii="Arial" w:eastAsia="Segoe UI" w:hAnsi="Arial" w:cs="Arial"/>
              </w:rPr>
              <w:t xml:space="preserve"> all reasonably practicable steps to eliminate and mitigate risks and hazards in the workplace that could cause harm</w:t>
            </w:r>
            <w:r w:rsidR="00FF1877" w:rsidRPr="00BD6E9D">
              <w:rPr>
                <w:rFonts w:ascii="Arial" w:eastAsia="Segoe UI" w:hAnsi="Arial" w:cs="Arial"/>
              </w:rPr>
              <w:t>, placing employee</w:t>
            </w:r>
            <w:r w:rsidR="00951C6A" w:rsidRPr="00BD6E9D">
              <w:rPr>
                <w:rFonts w:ascii="Arial" w:eastAsia="Segoe UI" w:hAnsi="Arial" w:cs="Arial"/>
              </w:rPr>
              <w:t xml:space="preserve">, </w:t>
            </w:r>
            <w:r w:rsidR="00FF1877" w:rsidRPr="00BD6E9D">
              <w:rPr>
                <w:rFonts w:ascii="Arial" w:eastAsia="Segoe UI" w:hAnsi="Arial" w:cs="Arial"/>
              </w:rPr>
              <w:t xml:space="preserve">contractor </w:t>
            </w:r>
            <w:r w:rsidR="00951C6A" w:rsidRPr="00BD6E9D">
              <w:rPr>
                <w:rFonts w:ascii="Arial" w:eastAsia="Segoe UI" w:hAnsi="Arial" w:cs="Arial"/>
              </w:rPr>
              <w:t>and others</w:t>
            </w:r>
            <w:r w:rsidR="00540453" w:rsidRPr="00BD6E9D">
              <w:rPr>
                <w:rFonts w:ascii="Arial" w:eastAsia="Segoe UI" w:hAnsi="Arial" w:cs="Arial"/>
              </w:rPr>
              <w:t>’</w:t>
            </w:r>
            <w:r w:rsidR="00951C6A" w:rsidRPr="00BD6E9D">
              <w:rPr>
                <w:rFonts w:ascii="Arial" w:eastAsia="Segoe UI" w:hAnsi="Arial" w:cs="Arial"/>
              </w:rPr>
              <w:t xml:space="preserve"> </w:t>
            </w:r>
            <w:r w:rsidR="00FF1877" w:rsidRPr="00BD6E9D">
              <w:rPr>
                <w:rFonts w:ascii="Arial" w:eastAsia="Segoe UI" w:hAnsi="Arial" w:cs="Arial"/>
              </w:rPr>
              <w:t>health, safety, and wellbeing centrally, alongside high-quality patient outcomes</w:t>
            </w:r>
            <w:r w:rsidR="00A2453D" w:rsidRPr="00BD6E9D">
              <w:rPr>
                <w:rFonts w:ascii="Arial" w:eastAsia="Segoe UI" w:hAnsi="Arial" w:cs="Arial"/>
              </w:rPr>
              <w:t>.</w:t>
            </w:r>
          </w:p>
          <w:p w14:paraId="625ED080" w14:textId="77777777" w:rsidR="00C70264" w:rsidRPr="00BD6E9D" w:rsidRDefault="002272EA" w:rsidP="00BD6E9D">
            <w:pPr>
              <w:numPr>
                <w:ilvl w:val="0"/>
                <w:numId w:val="17"/>
              </w:numPr>
              <w:spacing w:before="100" w:beforeAutospacing="1" w:after="100" w:afterAutospacing="1" w:line="240" w:lineRule="auto"/>
              <w:jc w:val="both"/>
              <w:rPr>
                <w:rFonts w:ascii="Arial" w:eastAsia="Segoe UI" w:hAnsi="Arial" w:cs="Arial"/>
              </w:rPr>
            </w:pPr>
            <w:r w:rsidRPr="00BD6E9D">
              <w:rPr>
                <w:rFonts w:ascii="Arial" w:eastAsia="Segoe UI" w:hAnsi="Arial" w:cs="Arial"/>
              </w:rPr>
              <w:t>Lead</w:t>
            </w:r>
            <w:r w:rsidR="001727F4" w:rsidRPr="00BD6E9D">
              <w:rPr>
                <w:rFonts w:ascii="Arial" w:eastAsia="Segoe UI" w:hAnsi="Arial" w:cs="Arial"/>
              </w:rPr>
              <w:t>s</w:t>
            </w:r>
            <w:r w:rsidRPr="00BD6E9D">
              <w:rPr>
                <w:rFonts w:ascii="Arial" w:eastAsia="Segoe UI" w:hAnsi="Arial" w:cs="Arial"/>
              </w:rPr>
              <w:t>, champion</w:t>
            </w:r>
            <w:r w:rsidR="001727F4" w:rsidRPr="00BD6E9D">
              <w:rPr>
                <w:rFonts w:ascii="Arial" w:eastAsia="Segoe UI" w:hAnsi="Arial" w:cs="Arial"/>
              </w:rPr>
              <w:t>s</w:t>
            </w:r>
            <w:r w:rsidRPr="00BD6E9D">
              <w:rPr>
                <w:rFonts w:ascii="Arial" w:eastAsia="Segoe UI" w:hAnsi="Arial" w:cs="Arial"/>
              </w:rPr>
              <w:t>, and promote</w:t>
            </w:r>
            <w:r w:rsidR="001727F4" w:rsidRPr="00BD6E9D">
              <w:rPr>
                <w:rFonts w:ascii="Arial" w:eastAsia="Segoe UI" w:hAnsi="Arial" w:cs="Arial"/>
              </w:rPr>
              <w:t>s</w:t>
            </w:r>
            <w:r w:rsidRPr="00BD6E9D">
              <w:rPr>
                <w:rFonts w:ascii="Arial" w:eastAsia="Segoe UI" w:hAnsi="Arial" w:cs="Arial"/>
              </w:rPr>
              <w:t xml:space="preserve"> continual improvement in health and wellbeing to create a healthy and safe culture</w:t>
            </w:r>
            <w:r w:rsidR="00A2453D" w:rsidRPr="00BD6E9D">
              <w:rPr>
                <w:rFonts w:ascii="Arial" w:eastAsia="Segoe UI" w:hAnsi="Arial" w:cs="Arial"/>
              </w:rPr>
              <w:t>.</w:t>
            </w:r>
          </w:p>
        </w:tc>
      </w:tr>
      <w:tr w:rsidR="00FC2114" w:rsidRPr="002C4DDC" w14:paraId="5F2ACF4B" w14:textId="77777777" w:rsidTr="00525B80">
        <w:trPr>
          <w:trHeight w:val="1006"/>
        </w:trPr>
        <w:tc>
          <w:tcPr>
            <w:tcW w:w="1985" w:type="dxa"/>
            <w:tcBorders>
              <w:top w:val="single" w:sz="4" w:space="0" w:color="D9D9D9"/>
              <w:bottom w:val="single" w:sz="4" w:space="0" w:color="D9D9D9"/>
              <w:right w:val="single" w:sz="4" w:space="0" w:color="D9D9D9"/>
            </w:tcBorders>
          </w:tcPr>
          <w:p w14:paraId="26522C39" w14:textId="77777777" w:rsidR="00FC2114" w:rsidRPr="002C4DDC" w:rsidRDefault="00FC2114" w:rsidP="0065237B">
            <w:pPr>
              <w:spacing w:after="0" w:line="240" w:lineRule="auto"/>
              <w:rPr>
                <w:rFonts w:ascii="Arial" w:hAnsi="Arial" w:cs="Arial"/>
                <w:b/>
                <w:bCs/>
              </w:rPr>
            </w:pPr>
            <w:r w:rsidRPr="002C4DDC">
              <w:rPr>
                <w:rFonts w:ascii="Arial" w:hAnsi="Arial" w:cs="Arial"/>
                <w:b/>
                <w:bCs/>
              </w:rPr>
              <w:t>Compliance and Risk</w:t>
            </w:r>
          </w:p>
        </w:tc>
        <w:tc>
          <w:tcPr>
            <w:tcW w:w="7041" w:type="dxa"/>
            <w:tcBorders>
              <w:top w:val="single" w:sz="4" w:space="0" w:color="D9D9D9"/>
              <w:left w:val="single" w:sz="4" w:space="0" w:color="D9D9D9"/>
              <w:bottom w:val="single" w:sz="4" w:space="0" w:color="D9D9D9"/>
            </w:tcBorders>
          </w:tcPr>
          <w:p w14:paraId="39774F2A" w14:textId="77777777" w:rsidR="00FC2114" w:rsidRPr="00525B80" w:rsidRDefault="00FF1877"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Takes</w:t>
            </w:r>
            <w:r w:rsidR="000963B2">
              <w:rPr>
                <w:rFonts w:ascii="Arial" w:eastAsia="Segoe UI" w:hAnsi="Arial" w:cs="Arial"/>
              </w:rPr>
              <w:t xml:space="preserve"> </w:t>
            </w:r>
            <w:r w:rsidRPr="002C4DDC">
              <w:rPr>
                <w:rFonts w:ascii="Arial" w:eastAsia="Segoe UI" w:hAnsi="Arial" w:cs="Arial"/>
              </w:rPr>
              <w:t xml:space="preserve">responsibility to ensure </w:t>
            </w:r>
            <w:r w:rsidR="00FC2114" w:rsidRPr="002C4DDC">
              <w:rPr>
                <w:rFonts w:ascii="Arial" w:eastAsia="Segoe UI" w:hAnsi="Arial" w:cs="Arial"/>
              </w:rPr>
              <w:t xml:space="preserve">appropriate risk </w:t>
            </w:r>
            <w:r w:rsidRPr="002C4DDC">
              <w:rPr>
                <w:rFonts w:ascii="Arial" w:eastAsia="Segoe UI" w:hAnsi="Arial" w:cs="Arial"/>
              </w:rPr>
              <w:t xml:space="preserve">reporting, </w:t>
            </w:r>
            <w:r w:rsidR="00FC2114" w:rsidRPr="002C4DDC">
              <w:rPr>
                <w:rFonts w:ascii="Arial" w:eastAsia="Segoe UI" w:hAnsi="Arial" w:cs="Arial"/>
              </w:rPr>
              <w:t>management and mit</w:t>
            </w:r>
            <w:r w:rsidRPr="002C4DDC">
              <w:rPr>
                <w:rFonts w:ascii="Arial" w:eastAsia="Segoe UI" w:hAnsi="Arial" w:cs="Arial"/>
              </w:rPr>
              <w:t xml:space="preserve">igation activities are </w:t>
            </w:r>
            <w:r w:rsidR="00525B80" w:rsidRPr="00525B80">
              <w:rPr>
                <w:rFonts w:ascii="Arial" w:eastAsia="Segoe UI" w:hAnsi="Arial" w:cs="Arial"/>
              </w:rPr>
              <w:t>completed</w:t>
            </w:r>
            <w:r w:rsidR="00A2453D" w:rsidRPr="00525B80">
              <w:rPr>
                <w:rFonts w:ascii="Arial" w:eastAsia="Segoe UI" w:hAnsi="Arial" w:cs="Arial"/>
              </w:rPr>
              <w:t>.</w:t>
            </w:r>
          </w:p>
          <w:p w14:paraId="3124CA89" w14:textId="77777777" w:rsidR="00FC2114" w:rsidRPr="002C4DDC" w:rsidRDefault="00FC2114" w:rsidP="000B3E62">
            <w:pPr>
              <w:pStyle w:val="ListParagraph"/>
              <w:numPr>
                <w:ilvl w:val="0"/>
                <w:numId w:val="17"/>
              </w:numPr>
              <w:spacing w:after="0" w:line="240" w:lineRule="auto"/>
              <w:contextualSpacing w:val="0"/>
              <w:jc w:val="both"/>
              <w:rPr>
                <w:rFonts w:ascii="Arial" w:eastAsia="Segoe UI" w:hAnsi="Arial" w:cs="Arial"/>
              </w:rPr>
            </w:pPr>
            <w:r w:rsidRPr="00525B80">
              <w:rPr>
                <w:rFonts w:ascii="Arial" w:eastAsia="Segoe UI" w:hAnsi="Arial" w:cs="Arial"/>
              </w:rPr>
              <w:t>Ensures compliance with all relevant statutory, safety and regulatory requirements applicable to the Business</w:t>
            </w:r>
            <w:r w:rsidRPr="002C4DDC">
              <w:rPr>
                <w:rFonts w:ascii="Arial" w:eastAsia="Segoe UI" w:hAnsi="Arial" w:cs="Arial"/>
              </w:rPr>
              <w:t xml:space="preserve"> Unit</w:t>
            </w:r>
            <w:r w:rsidR="00A2453D" w:rsidRPr="002C4DDC">
              <w:rPr>
                <w:rFonts w:ascii="Arial" w:eastAsia="Segoe UI" w:hAnsi="Arial" w:cs="Arial"/>
              </w:rPr>
              <w:t>.</w:t>
            </w:r>
          </w:p>
          <w:p w14:paraId="6B7AC029" w14:textId="77777777" w:rsidR="008307EC" w:rsidRPr="002C4DDC" w:rsidRDefault="008307EC" w:rsidP="000B3E62">
            <w:pPr>
              <w:pStyle w:val="ListParagraph"/>
              <w:numPr>
                <w:ilvl w:val="0"/>
                <w:numId w:val="17"/>
              </w:numPr>
              <w:spacing w:after="0" w:line="240" w:lineRule="auto"/>
              <w:contextualSpacing w:val="0"/>
              <w:jc w:val="both"/>
              <w:rPr>
                <w:rFonts w:ascii="Arial" w:eastAsia="Segoe UI" w:hAnsi="Arial" w:cs="Arial"/>
                <w:color w:val="000000" w:themeColor="text1"/>
              </w:rPr>
            </w:pPr>
            <w:r w:rsidRPr="002C4DDC">
              <w:rPr>
                <w:rFonts w:ascii="Arial" w:eastAsia="Segoe UI" w:hAnsi="Arial" w:cs="Arial"/>
                <w:color w:val="000000" w:themeColor="text1"/>
              </w:rPr>
              <w:t>Understands, and operates within, the financial &amp; operational delegations of their role, ensuring peers and team members are also similarly aware</w:t>
            </w:r>
            <w:r w:rsidR="00A2453D" w:rsidRPr="002C4DDC">
              <w:rPr>
                <w:rFonts w:ascii="Arial" w:eastAsia="Segoe UI" w:hAnsi="Arial" w:cs="Arial"/>
                <w:color w:val="000000" w:themeColor="text1"/>
              </w:rPr>
              <w:t>.</w:t>
            </w:r>
          </w:p>
        </w:tc>
      </w:tr>
      <w:bookmarkEnd w:id="1"/>
    </w:tbl>
    <w:p w14:paraId="085F4764" w14:textId="77777777" w:rsidR="00DF3A52" w:rsidRPr="002C4DDC" w:rsidRDefault="00DF3A52" w:rsidP="00DF3A52">
      <w:pPr>
        <w:pStyle w:val="Heading2"/>
        <w:rPr>
          <w:rFonts w:ascii="Arial" w:hAnsi="Arial" w:cs="Arial"/>
          <w:caps w:val="0"/>
          <w:sz w:val="22"/>
          <w:szCs w:val="22"/>
        </w:rPr>
      </w:pPr>
    </w:p>
    <w:p w14:paraId="4A428452"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3C105B60" w14:textId="77777777" w:rsidTr="002C4DDC">
        <w:trPr>
          <w:trHeight w:val="130"/>
        </w:trPr>
        <w:tc>
          <w:tcPr>
            <w:tcW w:w="4411" w:type="dxa"/>
          </w:tcPr>
          <w:p w14:paraId="74DB1215"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135196BC"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7469B9FA" w14:textId="77777777" w:rsidTr="002C4DDC">
        <w:trPr>
          <w:trHeight w:val="385"/>
        </w:trPr>
        <w:tc>
          <w:tcPr>
            <w:tcW w:w="4411" w:type="dxa"/>
          </w:tcPr>
          <w:p w14:paraId="5A8E4ABD" w14:textId="77777777" w:rsidR="00DF3A52" w:rsidRPr="00525B80" w:rsidRDefault="00525B80" w:rsidP="00525B80">
            <w:pPr>
              <w:tabs>
                <w:tab w:val="left" w:pos="-3828"/>
              </w:tabs>
              <w:suppressAutoHyphens/>
              <w:rPr>
                <w:rFonts w:ascii="Arial" w:hAnsi="Arial"/>
              </w:rPr>
            </w:pPr>
            <w:r>
              <w:rPr>
                <w:rFonts w:ascii="Arial" w:hAnsi="Arial"/>
              </w:rPr>
              <w:t>As required with Patients and their Families, General Practitioners, Referring Agencies, Community Services/Groups, University and Christchurch School of Medicine staff.</w:t>
            </w:r>
          </w:p>
        </w:tc>
        <w:tc>
          <w:tcPr>
            <w:tcW w:w="4412" w:type="dxa"/>
          </w:tcPr>
          <w:p w14:paraId="1FD61ED6" w14:textId="77777777" w:rsidR="00DF3A52" w:rsidRPr="00525B80" w:rsidRDefault="00525B80" w:rsidP="00525B80">
            <w:pPr>
              <w:tabs>
                <w:tab w:val="left" w:pos="-3828"/>
                <w:tab w:val="left" w:pos="-720"/>
              </w:tabs>
              <w:suppressAutoHyphens/>
              <w:rPr>
                <w:rFonts w:ascii="Arial" w:hAnsi="Arial"/>
              </w:rPr>
            </w:pPr>
            <w:r>
              <w:rPr>
                <w:rFonts w:ascii="Arial" w:hAnsi="Arial"/>
              </w:rPr>
              <w:t>Primarily with RMO’s and Medical Interns assigned to your General Medical Team.  As required with other medical staff, Nursing and Allied Health Professionals, Clinical Director, Service Manager and Medical Secretaries.</w:t>
            </w:r>
          </w:p>
        </w:tc>
      </w:tr>
    </w:tbl>
    <w:p w14:paraId="17109B8B" w14:textId="77777777" w:rsidR="00DF3A52" w:rsidRDefault="00525B80" w:rsidP="00DF3A52">
      <w:pPr>
        <w:pStyle w:val="Heading2"/>
        <w:rPr>
          <w:rFonts w:ascii="Arial" w:hAnsi="Arial" w:cs="Arial"/>
          <w:caps w:val="0"/>
          <w:sz w:val="22"/>
          <w:szCs w:val="22"/>
        </w:rPr>
      </w:pPr>
      <w:r>
        <w:rPr>
          <w:rFonts w:ascii="Arial" w:hAnsi="Arial" w:cs="Arial"/>
          <w:caps w:val="0"/>
          <w:color w:val="15284C"/>
          <w:sz w:val="24"/>
          <w:szCs w:val="24"/>
        </w:rPr>
        <w:t>Work hours</w:t>
      </w:r>
    </w:p>
    <w:p w14:paraId="732BD060" w14:textId="77777777" w:rsidR="00525B80" w:rsidRDefault="00525B80" w:rsidP="00525B80">
      <w:pPr>
        <w:pStyle w:val="BodyText"/>
        <w:rPr>
          <w:rFonts w:ascii="Arial" w:hAnsi="Arial"/>
          <w:sz w:val="22"/>
        </w:rPr>
      </w:pPr>
    </w:p>
    <w:p w14:paraId="72E5EB82" w14:textId="77777777" w:rsidR="00525B80" w:rsidRDefault="00525B80" w:rsidP="00525B80">
      <w:pPr>
        <w:pStyle w:val="BodyText"/>
        <w:rPr>
          <w:rFonts w:ascii="Arial" w:hAnsi="Arial"/>
        </w:rPr>
      </w:pPr>
      <w:r>
        <w:rPr>
          <w:rFonts w:ascii="Arial" w:hAnsi="Arial"/>
          <w:sz w:val="22"/>
        </w:rPr>
        <w:t>A full-time Physician position is job sized at 1.1375 FTE and is a combination of acute and non-acute responsibilities.</w:t>
      </w:r>
    </w:p>
    <w:p w14:paraId="7988C525" w14:textId="77777777" w:rsidR="00525B80" w:rsidRDefault="00525B80" w:rsidP="00525B80">
      <w:pPr>
        <w:pStyle w:val="BodyText"/>
        <w:rPr>
          <w:rFonts w:ascii="Arial" w:hAnsi="Arial"/>
        </w:rPr>
      </w:pPr>
    </w:p>
    <w:p w14:paraId="0F002471" w14:textId="77777777" w:rsidR="00525B80" w:rsidRDefault="00525B80" w:rsidP="00525B80">
      <w:pPr>
        <w:pStyle w:val="BodyText"/>
        <w:rPr>
          <w:rFonts w:ascii="Arial" w:hAnsi="Arial"/>
          <w:sz w:val="22"/>
        </w:rPr>
      </w:pPr>
      <w:r>
        <w:rPr>
          <w:rFonts w:ascii="Arial" w:hAnsi="Arial"/>
          <w:sz w:val="22"/>
        </w:rPr>
        <w:t xml:space="preserve">The Acute General Medicine Team component is equivalent to an average (over the </w:t>
      </w:r>
      <w:proofErr w:type="gramStart"/>
      <w:r>
        <w:rPr>
          <w:rFonts w:ascii="Arial" w:hAnsi="Arial"/>
          <w:sz w:val="22"/>
        </w:rPr>
        <w:t>sixteen week</w:t>
      </w:r>
      <w:proofErr w:type="gramEnd"/>
      <w:r>
        <w:rPr>
          <w:rFonts w:ascii="Arial" w:hAnsi="Arial"/>
          <w:sz w:val="22"/>
        </w:rPr>
        <w:t xml:space="preserve"> cycle) of 40 hours per week ordinary time and 5.5 after hours per week.  These hours allow for both clinical and non-clinical duties, assessment of call-back demands and on-call or availability requirements (including provisions for when roster varies).  The number of weeks per year the Physician participates in the acute roster will be pro-rated, based on the sub-specialty interest and FTE allocated for their acute General medicine component, if they also hold sub-speciality FTE.</w:t>
      </w:r>
    </w:p>
    <w:p w14:paraId="1382AA3E" w14:textId="77777777" w:rsidR="00525B80" w:rsidRDefault="00525B80" w:rsidP="00525B80">
      <w:pPr>
        <w:pStyle w:val="BodyText"/>
        <w:rPr>
          <w:rFonts w:ascii="Arial" w:hAnsi="Arial"/>
          <w:sz w:val="22"/>
        </w:rPr>
      </w:pPr>
    </w:p>
    <w:p w14:paraId="16C9BFED" w14:textId="77777777" w:rsidR="00525B80" w:rsidRDefault="00525B80" w:rsidP="00525B80">
      <w:pPr>
        <w:pStyle w:val="BodyText"/>
        <w:rPr>
          <w:rFonts w:ascii="Arial" w:hAnsi="Arial"/>
        </w:rPr>
      </w:pPr>
      <w:r>
        <w:rPr>
          <w:rFonts w:ascii="Arial" w:hAnsi="Arial"/>
          <w:sz w:val="22"/>
        </w:rPr>
        <w:t>Weekly clinic participation is sized at 0.1 FTE and requires participation in both Triage and delivery of clinic, as well as oversight of Advanced trainees who are doing their own clinic.</w:t>
      </w:r>
    </w:p>
    <w:p w14:paraId="54D4B1CD" w14:textId="77777777" w:rsidR="00525B80" w:rsidRPr="00525B80" w:rsidRDefault="00525B80" w:rsidP="00525B80"/>
    <w:p w14:paraId="7EB5E2FB"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22D1AB66" w14:textId="77777777" w:rsidR="00DF3A52" w:rsidRPr="002C4DDC" w:rsidRDefault="00857AAF" w:rsidP="00DF3A52">
      <w:pPr>
        <w:rPr>
          <w:rFonts w:ascii="Arial" w:hAnsi="Arial" w:cs="Arial"/>
          <w:color w:val="15284C"/>
        </w:rPr>
      </w:pPr>
      <w:r>
        <w:rPr>
          <w:rFonts w:ascii="Arial" w:hAnsi="Arial" w:cs="Arial"/>
          <w:color w:val="15284C"/>
        </w:rPr>
        <w:pict w14:anchorId="60FBA65A">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1615AF09" w14:textId="77777777" w:rsidTr="002C4DDC">
        <w:trPr>
          <w:trHeight w:val="507"/>
        </w:trPr>
        <w:tc>
          <w:tcPr>
            <w:tcW w:w="2268" w:type="dxa"/>
            <w:shd w:val="clear" w:color="auto" w:fill="FFFFFF"/>
          </w:tcPr>
          <w:p w14:paraId="60A93767"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56BF51F8" w14:textId="77777777" w:rsidR="00DF3A52" w:rsidRPr="002C4DDC" w:rsidRDefault="00DF3A52" w:rsidP="00B9274B">
            <w:pPr>
              <w:pStyle w:val="NoSpacing"/>
              <w:jc w:val="both"/>
              <w:rPr>
                <w:rFonts w:ascii="Arial" w:hAnsi="Arial" w:cs="Arial"/>
                <w:sz w:val="22"/>
              </w:rPr>
            </w:pPr>
            <w:r w:rsidRPr="002C4DDC">
              <w:rPr>
                <w:rFonts w:ascii="Arial" w:hAnsi="Arial" w:cs="Arial"/>
                <w:b/>
                <w:sz w:val="22"/>
              </w:rPr>
              <w:t>Essential:</w:t>
            </w:r>
          </w:p>
          <w:p w14:paraId="04B871FC" w14:textId="77777777" w:rsidR="00DF3A52"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A relevant graduate and post-graduate qualification</w:t>
            </w:r>
            <w:r w:rsidR="00A2453D" w:rsidRPr="00EA2B10">
              <w:rPr>
                <w:rFonts w:ascii="Arial" w:eastAsia="Segoe UI" w:hAnsi="Arial" w:cs="Arial"/>
                <w:color w:val="000000" w:themeColor="text1"/>
              </w:rPr>
              <w:t>.</w:t>
            </w:r>
          </w:p>
          <w:p w14:paraId="32F990B0" w14:textId="77777777" w:rsidR="004C752B" w:rsidRPr="00525B8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525B80">
              <w:rPr>
                <w:rFonts w:ascii="Arial" w:eastAsia="Segoe UI" w:hAnsi="Arial" w:cs="Arial"/>
                <w:color w:val="000000" w:themeColor="text1"/>
              </w:rPr>
              <w:t xml:space="preserve">Experience in implementing Te Tiriti o Waitangi in </w:t>
            </w:r>
            <w:r w:rsidR="00A2453D" w:rsidRPr="00525B80">
              <w:rPr>
                <w:rFonts w:ascii="Arial" w:eastAsia="Segoe UI" w:hAnsi="Arial" w:cs="Arial"/>
                <w:color w:val="000000" w:themeColor="text1"/>
              </w:rPr>
              <w:t>action.</w:t>
            </w:r>
          </w:p>
          <w:p w14:paraId="2B3075FF" w14:textId="77777777" w:rsidR="00DF3A52" w:rsidRPr="00525B80" w:rsidRDefault="00525B80"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525B80">
              <w:rPr>
                <w:rFonts w:ascii="Arial" w:eastAsia="Segoe UI" w:hAnsi="Arial" w:cs="Arial"/>
                <w:color w:val="000000" w:themeColor="text1"/>
              </w:rPr>
              <w:t>Registration with Internal Medicine as your scope</w:t>
            </w:r>
          </w:p>
          <w:p w14:paraId="7D2B8B1A" w14:textId="77777777" w:rsidR="00525B80" w:rsidRPr="00525B80" w:rsidRDefault="00525B80"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525B80">
              <w:rPr>
                <w:rFonts w:ascii="Arial" w:eastAsia="Segoe UI" w:hAnsi="Arial" w:cs="Arial"/>
                <w:color w:val="000000" w:themeColor="text1"/>
              </w:rPr>
              <w:t>An Annual Practising Certificate.</w:t>
            </w:r>
          </w:p>
          <w:p w14:paraId="0A8471FD" w14:textId="77777777" w:rsidR="00DF3A52" w:rsidRPr="00525B80" w:rsidRDefault="00DF3A52" w:rsidP="00525B80">
            <w:pPr>
              <w:spacing w:after="0" w:line="240" w:lineRule="auto"/>
              <w:jc w:val="both"/>
              <w:rPr>
                <w:rFonts w:ascii="Arial" w:hAnsi="Arial" w:cs="Arial"/>
              </w:rPr>
            </w:pPr>
          </w:p>
        </w:tc>
      </w:tr>
      <w:tr w:rsidR="00DF3A52" w:rsidRPr="002C4DDC" w14:paraId="60A33521" w14:textId="77777777" w:rsidTr="002C4DDC">
        <w:trPr>
          <w:trHeight w:val="1276"/>
        </w:trPr>
        <w:tc>
          <w:tcPr>
            <w:tcW w:w="2268" w:type="dxa"/>
          </w:tcPr>
          <w:p w14:paraId="58E8A19E"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be able to</w:t>
            </w:r>
          </w:p>
        </w:tc>
        <w:tc>
          <w:tcPr>
            <w:tcW w:w="6758" w:type="dxa"/>
          </w:tcPr>
          <w:p w14:paraId="6F8D10D3"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11CB541C" w14:textId="77777777" w:rsidR="00DF3A52" w:rsidRPr="00EA2B10"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EA2B10">
              <w:rPr>
                <w:rFonts w:ascii="Arial" w:eastAsia="Segoe UI" w:hAnsi="Arial" w:cs="Arial"/>
                <w:color w:val="000000" w:themeColor="text1"/>
              </w:rPr>
              <w:t>.</w:t>
            </w:r>
          </w:p>
          <w:p w14:paraId="4066678D" w14:textId="77777777"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Take</w:t>
            </w:r>
            <w:r w:rsidR="00F722EB" w:rsidRPr="00EA2B10">
              <w:rPr>
                <w:rFonts w:ascii="Arial" w:eastAsia="Segoe UI" w:hAnsi="Arial" w:cs="Arial"/>
                <w:color w:val="000000" w:themeColor="text1"/>
              </w:rPr>
              <w:t xml:space="preserve"> care of own physica</w:t>
            </w:r>
            <w:r w:rsidRPr="00EA2B10">
              <w:rPr>
                <w:rFonts w:ascii="Arial" w:eastAsia="Segoe UI" w:hAnsi="Arial" w:cs="Arial"/>
                <w:color w:val="000000" w:themeColor="text1"/>
              </w:rPr>
              <w:t xml:space="preserve">l and mental wellbeing, and have </w:t>
            </w:r>
            <w:r w:rsidR="00F722EB" w:rsidRPr="00EA2B10">
              <w:rPr>
                <w:rFonts w:ascii="Arial" w:eastAsia="Segoe UI" w:hAnsi="Arial" w:cs="Arial"/>
                <w:color w:val="000000" w:themeColor="text1"/>
              </w:rPr>
              <w:t>the stamina needed to go the distance</w:t>
            </w:r>
            <w:r w:rsidR="00A2453D" w:rsidRPr="00EA2B10">
              <w:rPr>
                <w:rFonts w:ascii="Arial" w:eastAsia="Segoe UI" w:hAnsi="Arial" w:cs="Arial"/>
                <w:color w:val="000000" w:themeColor="text1"/>
              </w:rPr>
              <w:t>.</w:t>
            </w:r>
          </w:p>
          <w:p w14:paraId="339F5A99" w14:textId="77777777" w:rsidR="00F722EB" w:rsidRPr="00EA2B10"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03637946" w14:textId="77777777"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1A30362B" w14:textId="77777777"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469ACAE4" w14:textId="77777777"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3" w:name="_Hlk101784053"/>
            <w:r w:rsidRPr="00EA2B10">
              <w:rPr>
                <w:rFonts w:ascii="Arial" w:eastAsia="Segoe UI" w:hAnsi="Arial" w:cs="Arial"/>
                <w:color w:val="000000" w:themeColor="text1"/>
              </w:rPr>
              <w:lastRenderedPageBreak/>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3"/>
          <w:p w14:paraId="3B665A4E" w14:textId="77777777" w:rsidR="00DF3A52" w:rsidRPr="00525B80" w:rsidRDefault="004C752B" w:rsidP="00525B8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the highest standards of personal, professional and institutional behaviour through commitment, loyalty and integrity</w:t>
            </w:r>
          </w:p>
        </w:tc>
      </w:tr>
    </w:tbl>
    <w:p w14:paraId="703A282C" w14:textId="77777777" w:rsidR="00DF3A52" w:rsidRPr="002C4DDC" w:rsidRDefault="00DF3A52" w:rsidP="00DF3A52">
      <w:pPr>
        <w:autoSpaceDE w:val="0"/>
        <w:autoSpaceDN w:val="0"/>
        <w:adjustRightInd w:val="0"/>
        <w:spacing w:after="0" w:line="240" w:lineRule="auto"/>
        <w:rPr>
          <w:rFonts w:ascii="Arial" w:hAnsi="Arial" w:cs="Arial"/>
        </w:rPr>
      </w:pPr>
    </w:p>
    <w:p w14:paraId="0224237D" w14:textId="77777777" w:rsidR="00721D2C" w:rsidRPr="002C4DDC" w:rsidRDefault="00721D2C" w:rsidP="00721D2C">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sectPr w:rsidR="00721D2C" w:rsidRPr="002C4DD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10845" w14:textId="77777777" w:rsidR="002516E6" w:rsidRDefault="002516E6" w:rsidP="00F31B43">
      <w:pPr>
        <w:spacing w:after="0" w:line="240" w:lineRule="auto"/>
      </w:pPr>
      <w:r>
        <w:separator/>
      </w:r>
    </w:p>
  </w:endnote>
  <w:endnote w:type="continuationSeparator" w:id="0">
    <w:p w14:paraId="068A88FC" w14:textId="77777777" w:rsidR="002516E6" w:rsidRDefault="002516E6" w:rsidP="00F31B43">
      <w:pPr>
        <w:spacing w:after="0" w:line="240" w:lineRule="auto"/>
      </w:pPr>
      <w:r>
        <w:continuationSeparator/>
      </w:r>
    </w:p>
  </w:endnote>
  <w:endnote w:type="continuationNotice" w:id="1">
    <w:p w14:paraId="5DC07DC0" w14:textId="77777777" w:rsidR="002516E6" w:rsidRDefault="002516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0AD44"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54822"/>
      <w:docPartObj>
        <w:docPartGallery w:val="Page Numbers (Bottom of Page)"/>
        <w:docPartUnique/>
      </w:docPartObj>
    </w:sdtPr>
    <w:sdtEndPr>
      <w:rPr>
        <w:rFonts w:ascii="Arial" w:hAnsi="Arial" w:cs="Arial"/>
        <w:noProof/>
      </w:rPr>
    </w:sdtEndPr>
    <w:sdtContent>
      <w:p w14:paraId="669CED68" w14:textId="77777777"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2D4C8ACB"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F705"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32F2E" w14:textId="77777777" w:rsidR="002516E6" w:rsidRDefault="002516E6" w:rsidP="00F31B43">
      <w:pPr>
        <w:spacing w:after="0" w:line="240" w:lineRule="auto"/>
      </w:pPr>
      <w:r>
        <w:separator/>
      </w:r>
    </w:p>
  </w:footnote>
  <w:footnote w:type="continuationSeparator" w:id="0">
    <w:p w14:paraId="2C608F24" w14:textId="77777777" w:rsidR="002516E6" w:rsidRDefault="002516E6" w:rsidP="00F31B43">
      <w:pPr>
        <w:spacing w:after="0" w:line="240" w:lineRule="auto"/>
      </w:pPr>
      <w:r>
        <w:continuationSeparator/>
      </w:r>
    </w:p>
  </w:footnote>
  <w:footnote w:type="continuationNotice" w:id="1">
    <w:p w14:paraId="757997CB" w14:textId="77777777" w:rsidR="002516E6" w:rsidRDefault="002516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BC457"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A383"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757E52EB" wp14:editId="0A3FF7D6">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531386F6" wp14:editId="2F2D6A61">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69259295" w14:textId="77777777" w:rsidR="00CA4ED5" w:rsidRDefault="00CA4ED5">
    <w:pPr>
      <w:pStyle w:val="Header"/>
    </w:pPr>
  </w:p>
  <w:p w14:paraId="61754E99" w14:textId="77777777" w:rsidR="00F31B43" w:rsidRDefault="00F31B43">
    <w:pPr>
      <w:pStyle w:val="Header"/>
    </w:pPr>
  </w:p>
  <w:p w14:paraId="6C5526B6"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338A"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24658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F55E5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DB2BA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7"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8"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7D220A"/>
    <w:multiLevelType w:val="hybridMultilevel"/>
    <w:tmpl w:val="0A0A90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4"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19"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20"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731805560">
    <w:abstractNumId w:val="4"/>
  </w:num>
  <w:num w:numId="2" w16cid:durableId="378558503">
    <w:abstractNumId w:val="14"/>
  </w:num>
  <w:num w:numId="3" w16cid:durableId="1202091617">
    <w:abstractNumId w:val="12"/>
  </w:num>
  <w:num w:numId="4" w16cid:durableId="451288263">
    <w:abstractNumId w:val="9"/>
  </w:num>
  <w:num w:numId="5" w16cid:durableId="1769808082">
    <w:abstractNumId w:val="13"/>
  </w:num>
  <w:num w:numId="6" w16cid:durableId="1017806029">
    <w:abstractNumId w:val="21"/>
  </w:num>
  <w:num w:numId="7" w16cid:durableId="323972318">
    <w:abstractNumId w:val="6"/>
  </w:num>
  <w:num w:numId="8" w16cid:durableId="237134851">
    <w:abstractNumId w:val="18"/>
  </w:num>
  <w:num w:numId="9" w16cid:durableId="350767669">
    <w:abstractNumId w:val="7"/>
  </w:num>
  <w:num w:numId="10" w16cid:durableId="638997066">
    <w:abstractNumId w:val="19"/>
  </w:num>
  <w:num w:numId="11" w16cid:durableId="345135345">
    <w:abstractNumId w:val="5"/>
  </w:num>
  <w:num w:numId="12" w16cid:durableId="852038669">
    <w:abstractNumId w:val="17"/>
  </w:num>
  <w:num w:numId="13" w16cid:durableId="2128624815">
    <w:abstractNumId w:val="16"/>
  </w:num>
  <w:num w:numId="14" w16cid:durableId="1887789657">
    <w:abstractNumId w:val="0"/>
  </w:num>
  <w:num w:numId="15" w16cid:durableId="2002848802">
    <w:abstractNumId w:val="10"/>
  </w:num>
  <w:num w:numId="16" w16cid:durableId="1424843379">
    <w:abstractNumId w:val="8"/>
  </w:num>
  <w:num w:numId="17" w16cid:durableId="285939576">
    <w:abstractNumId w:val="20"/>
  </w:num>
  <w:num w:numId="18" w16cid:durableId="797845043">
    <w:abstractNumId w:val="15"/>
  </w:num>
  <w:num w:numId="19" w16cid:durableId="132916972">
    <w:abstractNumId w:val="3"/>
  </w:num>
  <w:num w:numId="20" w16cid:durableId="980384073">
    <w:abstractNumId w:val="1"/>
  </w:num>
  <w:num w:numId="21" w16cid:durableId="1628119253">
    <w:abstractNumId w:val="2"/>
  </w:num>
  <w:num w:numId="22" w16cid:durableId="4668979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55BF8"/>
    <w:rsid w:val="00081EC5"/>
    <w:rsid w:val="000963B2"/>
    <w:rsid w:val="000A6849"/>
    <w:rsid w:val="000B3E62"/>
    <w:rsid w:val="000F661F"/>
    <w:rsid w:val="00132C49"/>
    <w:rsid w:val="00134292"/>
    <w:rsid w:val="001362E5"/>
    <w:rsid w:val="001437F7"/>
    <w:rsid w:val="001727F4"/>
    <w:rsid w:val="001B3D05"/>
    <w:rsid w:val="001D5DBB"/>
    <w:rsid w:val="002272EA"/>
    <w:rsid w:val="002516E6"/>
    <w:rsid w:val="002534E3"/>
    <w:rsid w:val="0026064B"/>
    <w:rsid w:val="002675E7"/>
    <w:rsid w:val="00275DBE"/>
    <w:rsid w:val="00296A2A"/>
    <w:rsid w:val="002A0C63"/>
    <w:rsid w:val="002B0C85"/>
    <w:rsid w:val="002B0D20"/>
    <w:rsid w:val="002C4DDC"/>
    <w:rsid w:val="002D1098"/>
    <w:rsid w:val="003158F0"/>
    <w:rsid w:val="00330FF1"/>
    <w:rsid w:val="00345452"/>
    <w:rsid w:val="003730EE"/>
    <w:rsid w:val="00373B25"/>
    <w:rsid w:val="003B4D8D"/>
    <w:rsid w:val="003B7B6C"/>
    <w:rsid w:val="003E0531"/>
    <w:rsid w:val="00420C70"/>
    <w:rsid w:val="00422707"/>
    <w:rsid w:val="004573BA"/>
    <w:rsid w:val="0046488C"/>
    <w:rsid w:val="004C752B"/>
    <w:rsid w:val="004D54CC"/>
    <w:rsid w:val="005108E0"/>
    <w:rsid w:val="00525B80"/>
    <w:rsid w:val="00540453"/>
    <w:rsid w:val="005C4D1E"/>
    <w:rsid w:val="005D14B9"/>
    <w:rsid w:val="005F03E8"/>
    <w:rsid w:val="0062687E"/>
    <w:rsid w:val="0063289F"/>
    <w:rsid w:val="00633064"/>
    <w:rsid w:val="0065237B"/>
    <w:rsid w:val="00672887"/>
    <w:rsid w:val="00677A1F"/>
    <w:rsid w:val="00683E66"/>
    <w:rsid w:val="0069612F"/>
    <w:rsid w:val="006B018F"/>
    <w:rsid w:val="00721D2C"/>
    <w:rsid w:val="00747C28"/>
    <w:rsid w:val="00755A01"/>
    <w:rsid w:val="0078274A"/>
    <w:rsid w:val="007D0B99"/>
    <w:rsid w:val="00803EF9"/>
    <w:rsid w:val="00827DEE"/>
    <w:rsid w:val="008307EC"/>
    <w:rsid w:val="00847238"/>
    <w:rsid w:val="00851491"/>
    <w:rsid w:val="00857AAF"/>
    <w:rsid w:val="008671C9"/>
    <w:rsid w:val="00882418"/>
    <w:rsid w:val="008A51B0"/>
    <w:rsid w:val="008B697F"/>
    <w:rsid w:val="008C18D3"/>
    <w:rsid w:val="008F78FB"/>
    <w:rsid w:val="00901A7F"/>
    <w:rsid w:val="00951C6A"/>
    <w:rsid w:val="00952FB0"/>
    <w:rsid w:val="00955E2F"/>
    <w:rsid w:val="00974809"/>
    <w:rsid w:val="0099474D"/>
    <w:rsid w:val="009A1B20"/>
    <w:rsid w:val="009A21B3"/>
    <w:rsid w:val="009B40C5"/>
    <w:rsid w:val="009B455D"/>
    <w:rsid w:val="009D7067"/>
    <w:rsid w:val="009F18E5"/>
    <w:rsid w:val="00A139D2"/>
    <w:rsid w:val="00A2453D"/>
    <w:rsid w:val="00A34D57"/>
    <w:rsid w:val="00A51CD4"/>
    <w:rsid w:val="00A66606"/>
    <w:rsid w:val="00A74821"/>
    <w:rsid w:val="00A941AB"/>
    <w:rsid w:val="00AA0253"/>
    <w:rsid w:val="00AD31C5"/>
    <w:rsid w:val="00B05B12"/>
    <w:rsid w:val="00B21F4A"/>
    <w:rsid w:val="00B77E41"/>
    <w:rsid w:val="00BC197A"/>
    <w:rsid w:val="00BD6E9D"/>
    <w:rsid w:val="00C5193A"/>
    <w:rsid w:val="00C56804"/>
    <w:rsid w:val="00C70196"/>
    <w:rsid w:val="00C70264"/>
    <w:rsid w:val="00C75E6F"/>
    <w:rsid w:val="00CA4ED5"/>
    <w:rsid w:val="00CC16BB"/>
    <w:rsid w:val="00D2709C"/>
    <w:rsid w:val="00D327E7"/>
    <w:rsid w:val="00D448C7"/>
    <w:rsid w:val="00D50A0F"/>
    <w:rsid w:val="00D52287"/>
    <w:rsid w:val="00D549CB"/>
    <w:rsid w:val="00D62956"/>
    <w:rsid w:val="00DF3A52"/>
    <w:rsid w:val="00DF753A"/>
    <w:rsid w:val="00E030ED"/>
    <w:rsid w:val="00E0419E"/>
    <w:rsid w:val="00E30D4E"/>
    <w:rsid w:val="00EA2B10"/>
    <w:rsid w:val="00ED0B37"/>
    <w:rsid w:val="00F31B43"/>
    <w:rsid w:val="00F5300E"/>
    <w:rsid w:val="00F722EB"/>
    <w:rsid w:val="00F969D1"/>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4097"/>
    <o:shapelayout v:ext="edit">
      <o:idmap v:ext="edit" data="1"/>
    </o:shapelayout>
  </w:shapeDefaults>
  <w:decimalSymbol w:val="."/>
  <w:listSeparator w:val=","/>
  <w14:docId w14:val="28B6AEF2"/>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paragraph" w:styleId="Heading5">
    <w:name w:val="heading 5"/>
    <w:basedOn w:val="Normal"/>
    <w:next w:val="Normal"/>
    <w:link w:val="Heading5Char"/>
    <w:uiPriority w:val="9"/>
    <w:semiHidden/>
    <w:unhideWhenUsed/>
    <w:qFormat/>
    <w:rsid w:val="00A139D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character" w:customStyle="1" w:styleId="Heading5Char">
    <w:name w:val="Heading 5 Char"/>
    <w:basedOn w:val="DefaultParagraphFont"/>
    <w:link w:val="Heading5"/>
    <w:uiPriority w:val="9"/>
    <w:semiHidden/>
    <w:rsid w:val="00A139D2"/>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semiHidden/>
    <w:rsid w:val="00525B80"/>
    <w:pPr>
      <w:spacing w:after="0" w:line="240" w:lineRule="auto"/>
      <w:jc w:val="both"/>
    </w:pPr>
    <w:rPr>
      <w:rFonts w:ascii="Times New Roman" w:eastAsia="Times New Roman" w:hAnsi="Times New Roman"/>
      <w:sz w:val="24"/>
      <w:szCs w:val="20"/>
      <w:lang w:val="en-GB"/>
    </w:rPr>
  </w:style>
  <w:style w:type="character" w:customStyle="1" w:styleId="BodyTextChar">
    <w:name w:val="Body Text Char"/>
    <w:basedOn w:val="DefaultParagraphFont"/>
    <w:link w:val="BodyText"/>
    <w:uiPriority w:val="99"/>
    <w:semiHidden/>
    <w:rsid w:val="00525B80"/>
    <w:rPr>
      <w:rFonts w:ascii="Times New Roman" w:eastAsia="Times New Roman" w:hAnsi="Times New Roman" w:cs="Times New Roman"/>
      <w:sz w:val="24"/>
      <w:szCs w:val="20"/>
      <w:lang w:val="en-GB"/>
    </w:rPr>
  </w:style>
  <w:style w:type="paragraph" w:styleId="Revision">
    <w:name w:val="Revision"/>
    <w:hidden/>
    <w:uiPriority w:val="99"/>
    <w:semiHidden/>
    <w:rsid w:val="0084723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bf29b3f-1e51-457b-ae0c-362182e58074" ContentTypeId="0x010100143DE15D4582A44D8C48637AE793BB4A" PreviousValue="false"/>
</file>

<file path=customXml/itemProps1.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2.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3.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4.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752E8A-3807-4FE4-A034-283DC670BF9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1687</Words>
  <Characters>9622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Dave Nicholl</cp:lastModifiedBy>
  <cp:revision>2</cp:revision>
  <dcterms:created xsi:type="dcterms:W3CDTF">2025-11-24T02:43:00Z</dcterms:created>
  <dcterms:modified xsi:type="dcterms:W3CDTF">2025-11-24T02:43:00Z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