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EE7" w14:textId="77777777" w:rsidR="000F50C3" w:rsidRPr="007055CA" w:rsidRDefault="0066220B" w:rsidP="0056539E">
      <w:r w:rsidRPr="007055CA">
        <w:t>Position</w:t>
      </w:r>
      <w:r w:rsidRPr="007055CA">
        <w:rPr>
          <w:spacing w:val="-6"/>
        </w:rPr>
        <w:t xml:space="preserve"> </w:t>
      </w:r>
      <w:r w:rsidRPr="007055CA">
        <w:t>Description</w:t>
      </w:r>
      <w:r w:rsidRPr="007055CA">
        <w:rPr>
          <w:spacing w:val="-3"/>
        </w:rPr>
        <w:t xml:space="preserve"> </w:t>
      </w:r>
      <w:r w:rsidRPr="007055CA">
        <w:t>|Te</w:t>
      </w:r>
      <w:r w:rsidRPr="007055CA">
        <w:rPr>
          <w:spacing w:val="-4"/>
        </w:rPr>
        <w:t xml:space="preserve"> </w:t>
      </w:r>
      <w:r w:rsidRPr="007055CA">
        <w:t>whakaturanga</w:t>
      </w:r>
      <w:r w:rsidRPr="007055CA">
        <w:rPr>
          <w:spacing w:val="-3"/>
        </w:rPr>
        <w:t xml:space="preserve"> </w:t>
      </w:r>
      <w:r w:rsidRPr="007055CA">
        <w:t>ō</w:t>
      </w:r>
      <w:r w:rsidRPr="007055CA">
        <w:rPr>
          <w:spacing w:val="-3"/>
        </w:rPr>
        <w:t xml:space="preserve"> </w:t>
      </w:r>
      <w:r w:rsidR="00C130DE" w:rsidRPr="007055CA">
        <w:rPr>
          <w:spacing w:val="-3"/>
        </w:rPr>
        <w:t>m</w:t>
      </w:r>
      <w:r w:rsidRPr="007055CA">
        <w:rPr>
          <w:spacing w:val="-4"/>
        </w:rPr>
        <w:t>ahi</w:t>
      </w:r>
    </w:p>
    <w:p w14:paraId="37A34657" w14:textId="77777777" w:rsidR="000F50C3" w:rsidRPr="007055CA" w:rsidRDefault="0066220B" w:rsidP="0056539E">
      <w:r w:rsidRPr="007055CA">
        <w:t>Health</w:t>
      </w:r>
      <w:r w:rsidRPr="007055CA">
        <w:rPr>
          <w:spacing w:val="-4"/>
        </w:rPr>
        <w:t xml:space="preserve"> </w:t>
      </w:r>
      <w:r w:rsidRPr="007055CA">
        <w:t>New</w:t>
      </w:r>
      <w:r w:rsidRPr="007055CA">
        <w:rPr>
          <w:spacing w:val="-1"/>
        </w:rPr>
        <w:t xml:space="preserve"> </w:t>
      </w:r>
      <w:proofErr w:type="spellStart"/>
      <w:r w:rsidRPr="007055CA">
        <w:t>Zealand|Te</w:t>
      </w:r>
      <w:proofErr w:type="spellEnd"/>
      <w:r w:rsidRPr="007055CA">
        <w:rPr>
          <w:spacing w:val="-3"/>
        </w:rPr>
        <w:t xml:space="preserve"> </w:t>
      </w:r>
      <w:r w:rsidRPr="007055CA">
        <w:t>Whatu</w:t>
      </w:r>
      <w:r w:rsidRPr="007055CA">
        <w:rPr>
          <w:spacing w:val="-1"/>
        </w:rPr>
        <w:t xml:space="preserve"> </w:t>
      </w:r>
      <w:r w:rsidRPr="007055CA">
        <w:rPr>
          <w:spacing w:val="-5"/>
        </w:rPr>
        <w:t>Ora</w:t>
      </w:r>
    </w:p>
    <w:p w14:paraId="0DCE49F4" w14:textId="77777777" w:rsidR="000F50C3" w:rsidRPr="00575EA6" w:rsidRDefault="000F50C3" w:rsidP="0056539E">
      <w:pPr>
        <w:rPr>
          <w:b/>
          <w:sz w:val="20"/>
        </w:rPr>
      </w:pPr>
    </w:p>
    <w:p w14:paraId="3DF7E105" w14:textId="77777777" w:rsidR="000F50C3" w:rsidRPr="00575EA6" w:rsidRDefault="000F50C3" w:rsidP="0056539E">
      <w:pPr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F0EDEB"/>
          <w:left w:val="single" w:sz="4" w:space="0" w:color="F0EDEB"/>
          <w:bottom w:val="single" w:sz="4" w:space="0" w:color="F0EDEB"/>
          <w:right w:val="single" w:sz="4" w:space="0" w:color="F0EDEB"/>
          <w:insideH w:val="single" w:sz="4" w:space="0" w:color="F0EDEB"/>
          <w:insideV w:val="single" w:sz="4" w:space="0" w:color="F0ED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6834"/>
      </w:tblGrid>
      <w:tr w:rsidR="000F50C3" w:rsidRPr="00575EA6" w14:paraId="68F589DE" w14:textId="77777777">
        <w:trPr>
          <w:trHeight w:val="292"/>
        </w:trPr>
        <w:tc>
          <w:tcPr>
            <w:tcW w:w="2390" w:type="dxa"/>
            <w:tcBorders>
              <w:left w:val="nil"/>
            </w:tcBorders>
          </w:tcPr>
          <w:p w14:paraId="69804C50" w14:textId="77777777" w:rsidR="000F50C3" w:rsidRPr="00575EA6" w:rsidRDefault="0066220B" w:rsidP="0056539E">
            <w:pPr>
              <w:rPr>
                <w:b/>
              </w:rPr>
            </w:pPr>
            <w:r w:rsidRPr="00575EA6">
              <w:rPr>
                <w:b/>
                <w:spacing w:val="-2"/>
              </w:rPr>
              <w:t>Title</w:t>
            </w:r>
          </w:p>
        </w:tc>
        <w:tc>
          <w:tcPr>
            <w:tcW w:w="6834" w:type="dxa"/>
            <w:tcBorders>
              <w:right w:val="nil"/>
            </w:tcBorders>
          </w:tcPr>
          <w:p w14:paraId="79FC8E8C" w14:textId="77777777" w:rsidR="000F50C3" w:rsidRPr="00575EA6" w:rsidRDefault="001E76CE" w:rsidP="0056539E">
            <w:pPr>
              <w:rPr>
                <w:b/>
              </w:rPr>
            </w:pPr>
            <w:r>
              <w:rPr>
                <w:b/>
              </w:rPr>
              <w:t>Nursing Director – Daily Operations</w:t>
            </w:r>
          </w:p>
        </w:tc>
      </w:tr>
      <w:tr w:rsidR="000F50C3" w:rsidRPr="00575EA6" w14:paraId="3E25E757" w14:textId="77777777">
        <w:trPr>
          <w:trHeight w:val="294"/>
        </w:trPr>
        <w:tc>
          <w:tcPr>
            <w:tcW w:w="2390" w:type="dxa"/>
            <w:tcBorders>
              <w:left w:val="nil"/>
            </w:tcBorders>
          </w:tcPr>
          <w:p w14:paraId="2EB6F0FA" w14:textId="77777777" w:rsidR="000F50C3" w:rsidRPr="00575EA6" w:rsidRDefault="0066220B" w:rsidP="0056539E">
            <w:pPr>
              <w:rPr>
                <w:b/>
              </w:rPr>
            </w:pPr>
            <w:r w:rsidRPr="00575EA6">
              <w:rPr>
                <w:b/>
              </w:rPr>
              <w:t>Reports</w:t>
            </w:r>
            <w:r w:rsidRPr="00575EA6">
              <w:rPr>
                <w:b/>
                <w:spacing w:val="-3"/>
              </w:rPr>
              <w:t xml:space="preserve"> </w:t>
            </w:r>
            <w:r w:rsidRPr="00575EA6">
              <w:rPr>
                <w:b/>
                <w:spacing w:val="-5"/>
              </w:rPr>
              <w:t>to</w:t>
            </w:r>
          </w:p>
        </w:tc>
        <w:tc>
          <w:tcPr>
            <w:tcW w:w="6834" w:type="dxa"/>
            <w:tcBorders>
              <w:right w:val="nil"/>
            </w:tcBorders>
          </w:tcPr>
          <w:p w14:paraId="3B476CCE" w14:textId="77777777" w:rsidR="000F50C3" w:rsidRPr="00575EA6" w:rsidRDefault="001E76CE" w:rsidP="0056539E">
            <w:r>
              <w:t>Director of Nursing</w:t>
            </w:r>
          </w:p>
        </w:tc>
      </w:tr>
      <w:tr w:rsidR="000F50C3" w:rsidRPr="00575EA6" w14:paraId="2F9966E3" w14:textId="77777777">
        <w:trPr>
          <w:trHeight w:val="292"/>
        </w:trPr>
        <w:tc>
          <w:tcPr>
            <w:tcW w:w="2390" w:type="dxa"/>
            <w:tcBorders>
              <w:left w:val="nil"/>
            </w:tcBorders>
          </w:tcPr>
          <w:p w14:paraId="4F28B98A" w14:textId="77777777" w:rsidR="000F50C3" w:rsidRPr="00575EA6" w:rsidRDefault="0066220B" w:rsidP="0056539E">
            <w:pPr>
              <w:rPr>
                <w:b/>
              </w:rPr>
            </w:pPr>
            <w:r w:rsidRPr="00575EA6">
              <w:rPr>
                <w:b/>
                <w:spacing w:val="-2"/>
              </w:rPr>
              <w:t>Location</w:t>
            </w:r>
          </w:p>
        </w:tc>
        <w:tc>
          <w:tcPr>
            <w:tcW w:w="6834" w:type="dxa"/>
            <w:tcBorders>
              <w:right w:val="nil"/>
            </w:tcBorders>
          </w:tcPr>
          <w:p w14:paraId="6862C12A" w14:textId="77777777" w:rsidR="000F50C3" w:rsidRPr="00575EA6" w:rsidRDefault="007D5136" w:rsidP="0056539E">
            <w:r>
              <w:t>Hillmorton Hospital</w:t>
            </w:r>
          </w:p>
        </w:tc>
      </w:tr>
      <w:tr w:rsidR="000F50C3" w:rsidRPr="00575EA6" w14:paraId="79C7E1A5" w14:textId="77777777">
        <w:trPr>
          <w:trHeight w:val="292"/>
        </w:trPr>
        <w:tc>
          <w:tcPr>
            <w:tcW w:w="2390" w:type="dxa"/>
            <w:tcBorders>
              <w:left w:val="nil"/>
              <w:bottom w:val="single" w:sz="4" w:space="0" w:color="E7E6E6"/>
            </w:tcBorders>
          </w:tcPr>
          <w:p w14:paraId="2B0CEB42" w14:textId="77777777" w:rsidR="000F50C3" w:rsidRPr="00575EA6" w:rsidRDefault="0066220B" w:rsidP="0056539E">
            <w:pPr>
              <w:rPr>
                <w:b/>
              </w:rPr>
            </w:pPr>
            <w:r w:rsidRPr="00575EA6">
              <w:rPr>
                <w:b/>
                <w:spacing w:val="-2"/>
              </w:rPr>
              <w:t>Department</w:t>
            </w:r>
          </w:p>
        </w:tc>
        <w:tc>
          <w:tcPr>
            <w:tcW w:w="6834" w:type="dxa"/>
            <w:tcBorders>
              <w:bottom w:val="single" w:sz="4" w:space="0" w:color="E7E6E6"/>
              <w:right w:val="nil"/>
            </w:tcBorders>
          </w:tcPr>
          <w:p w14:paraId="29A9FFD2" w14:textId="77777777" w:rsidR="000F50C3" w:rsidRPr="00575EA6" w:rsidRDefault="007D5136" w:rsidP="0056539E">
            <w:r w:rsidRPr="00575EA6">
              <w:t>Specialist Mental Health Services, Health New Zealand: Waitaha Canterbury</w:t>
            </w:r>
          </w:p>
        </w:tc>
      </w:tr>
      <w:tr w:rsidR="00575EA6" w:rsidRPr="00575EA6" w14:paraId="2BF7FA5E" w14:textId="77777777" w:rsidTr="006C0459">
        <w:trPr>
          <w:trHeight w:val="292"/>
        </w:trPr>
        <w:tc>
          <w:tcPr>
            <w:tcW w:w="2390" w:type="dxa"/>
            <w:tcBorders>
              <w:left w:val="nil"/>
            </w:tcBorders>
          </w:tcPr>
          <w:p w14:paraId="04250EEC" w14:textId="77777777" w:rsidR="00575EA6" w:rsidRPr="00575EA6" w:rsidRDefault="00575EA6" w:rsidP="0056539E">
            <w:pPr>
              <w:rPr>
                <w:b/>
              </w:rPr>
            </w:pPr>
            <w:r w:rsidRPr="00575EA6">
              <w:rPr>
                <w:b/>
                <w:spacing w:val="-4"/>
              </w:rPr>
              <w:t>Date</w:t>
            </w:r>
          </w:p>
        </w:tc>
        <w:tc>
          <w:tcPr>
            <w:tcW w:w="6834" w:type="dxa"/>
            <w:tcBorders>
              <w:right w:val="nil"/>
            </w:tcBorders>
          </w:tcPr>
          <w:p w14:paraId="1CBA23B1" w14:textId="781FBCC5" w:rsidR="00575EA6" w:rsidRPr="00575EA6" w:rsidRDefault="00B21BE3" w:rsidP="0056539E">
            <w:pPr>
              <w:rPr>
                <w:spacing w:val="-5"/>
              </w:rPr>
            </w:pPr>
            <w:r>
              <w:t xml:space="preserve">02 June </w:t>
            </w:r>
            <w:r w:rsidR="00BB72D3">
              <w:t>2026</w:t>
            </w:r>
          </w:p>
        </w:tc>
      </w:tr>
    </w:tbl>
    <w:p w14:paraId="3C6BA165" w14:textId="77777777" w:rsidR="00C130DE" w:rsidRPr="00575EA6" w:rsidRDefault="00C130DE" w:rsidP="0056539E">
      <w:pPr>
        <w:rPr>
          <w:color w:val="15284C"/>
        </w:rPr>
      </w:pPr>
    </w:p>
    <w:p w14:paraId="081B7543" w14:textId="77777777" w:rsidR="00575EA6" w:rsidRDefault="00575EA6" w:rsidP="0056539E">
      <w:pPr>
        <w:rPr>
          <w:color w:val="15284C"/>
        </w:rPr>
      </w:pPr>
    </w:p>
    <w:p w14:paraId="206E4F74" w14:textId="77777777" w:rsidR="008B60DB" w:rsidRPr="00575EA6" w:rsidRDefault="008B60DB" w:rsidP="0056539E">
      <w:pPr>
        <w:rPr>
          <w:caps/>
          <w:color w:val="15284C"/>
        </w:rPr>
      </w:pPr>
      <w:r w:rsidRPr="00575EA6">
        <w:rPr>
          <w:color w:val="15284C"/>
        </w:rPr>
        <w:t>Te Mauri o Rongo – The New Zealand Health Charter</w:t>
      </w:r>
    </w:p>
    <w:p w14:paraId="42EACCE3" w14:textId="77777777" w:rsidR="008B60DB" w:rsidRPr="00575EA6" w:rsidRDefault="00000000" w:rsidP="0056539E">
      <w:pPr>
        <w:rPr>
          <w:caps/>
          <w:color w:val="009C98"/>
        </w:rPr>
      </w:pPr>
      <w:r>
        <w:rPr>
          <w:color w:val="009C98"/>
        </w:rPr>
        <w:pict w14:anchorId="6BE53435">
          <v:rect id="_x0000_i1025" style="width:451.3pt;height:1.5pt" o:hralign="center" o:hrstd="t" o:hrnoshade="t" o:hr="t" fillcolor="#15284c" stroked="f"/>
        </w:pict>
      </w:r>
    </w:p>
    <w:p w14:paraId="44C2FFB3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 xml:space="preserve">The foundation for how we ensure our people are empowered, safe and supported while working to deliver a successful healthcare system, is Te Mauri o Rongo – the New Zealand Health Charter. It guides all of us as we work </w:t>
      </w:r>
      <w:r w:rsidR="00056852">
        <w:rPr>
          <w:rFonts w:eastAsia="Times New Roman"/>
          <w:lang w:eastAsia="en-NZ"/>
        </w:rPr>
        <w:t>towards</w:t>
      </w:r>
      <w:r w:rsidRPr="00575EA6">
        <w:rPr>
          <w:rFonts w:eastAsia="Times New Roman"/>
          <w:lang w:eastAsia="en-NZ"/>
        </w:rPr>
        <w:t xml:space="preserve"> a healthcare system that is more responsive to the needs of, and accessible to all people in Aotearoa New Zealand. </w:t>
      </w:r>
    </w:p>
    <w:p w14:paraId="07D84AB3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 xml:space="preserve">                </w:t>
      </w:r>
    </w:p>
    <w:p w14:paraId="0FB6723F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>It applies to everyone in our organisation and sits alongside our code of conduct as our guiding document.   </w:t>
      </w:r>
    </w:p>
    <w:p w14:paraId="65499DB9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> </w:t>
      </w:r>
    </w:p>
    <w:p w14:paraId="54349CF2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 xml:space="preserve">Te Mauri o Rongo consists of four </w:t>
      </w:r>
      <w:proofErr w:type="spellStart"/>
      <w:r w:rsidRPr="00575EA6">
        <w:rPr>
          <w:rFonts w:eastAsia="Times New Roman"/>
          <w:lang w:eastAsia="en-NZ"/>
        </w:rPr>
        <w:t>pou</w:t>
      </w:r>
      <w:proofErr w:type="spellEnd"/>
      <w:r w:rsidRPr="00575EA6">
        <w:rPr>
          <w:rFonts w:eastAsia="Times New Roman"/>
          <w:lang w:eastAsia="en-NZ"/>
        </w:rPr>
        <w:t xml:space="preserve"> (pillars) within it, including:</w:t>
      </w:r>
    </w:p>
    <w:p w14:paraId="0175C87C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> </w:t>
      </w:r>
    </w:p>
    <w:p w14:paraId="1E98E4FC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b/>
          <w:color w:val="15284C"/>
        </w:rPr>
        <w:t xml:space="preserve">Wairuatanga </w:t>
      </w:r>
      <w:r w:rsidRPr="00575EA6">
        <w:rPr>
          <w:rFonts w:eastAsia="Times New Roman"/>
          <w:lang w:eastAsia="en-NZ"/>
        </w:rPr>
        <w:t xml:space="preserve">– working with heart, the strong sense of purpose and commitment to service that health workers bring to their mahi. </w:t>
      </w:r>
      <w:r w:rsidRPr="00575EA6">
        <w:rPr>
          <w:rFonts w:eastAsia="Times New Roman"/>
          <w:lang w:eastAsia="en-NZ"/>
        </w:rPr>
        <w:br/>
      </w:r>
    </w:p>
    <w:p w14:paraId="6A956A44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b/>
          <w:color w:val="15284C"/>
        </w:rPr>
        <w:t xml:space="preserve">Rangatiratanga </w:t>
      </w:r>
      <w:r w:rsidRPr="00575EA6">
        <w:rPr>
          <w:rFonts w:eastAsia="Times New Roman"/>
          <w:lang w:eastAsia="en-NZ"/>
        </w:rPr>
        <w:t xml:space="preserve">– as </w:t>
      </w:r>
      <w:proofErr w:type="spellStart"/>
      <w:r w:rsidRPr="00575EA6">
        <w:rPr>
          <w:rFonts w:eastAsia="Times New Roman"/>
          <w:lang w:eastAsia="en-NZ"/>
        </w:rPr>
        <w:t>organisations</w:t>
      </w:r>
      <w:proofErr w:type="spellEnd"/>
      <w:r w:rsidRPr="00575EA6">
        <w:rPr>
          <w:rFonts w:eastAsia="Times New Roman"/>
          <w:lang w:eastAsia="en-NZ"/>
        </w:rPr>
        <w:t xml:space="preserve"> we support our people to lead. We will know our people; we will grow those around us and be accountable with them in contributing to Pae Ora for all.</w:t>
      </w:r>
      <w:r w:rsidRPr="00575EA6">
        <w:rPr>
          <w:rFonts w:eastAsia="Times New Roman"/>
          <w:lang w:eastAsia="en-NZ"/>
        </w:rPr>
        <w:br/>
      </w:r>
      <w:r w:rsidRPr="00575EA6">
        <w:rPr>
          <w:rFonts w:eastAsia="Times New Roman"/>
          <w:lang w:eastAsia="en-NZ"/>
        </w:rPr>
        <w:br/>
      </w:r>
      <w:r w:rsidRPr="00575EA6">
        <w:rPr>
          <w:rFonts w:eastAsia="Times New Roman"/>
          <w:b/>
          <w:color w:val="15284C"/>
        </w:rPr>
        <w:t>Whanaungatanga</w:t>
      </w:r>
      <w:r w:rsidRPr="00575EA6">
        <w:rPr>
          <w:rFonts w:eastAsia="Times New Roman"/>
          <w:b/>
          <w:bCs/>
          <w:lang w:eastAsia="en-NZ"/>
        </w:rPr>
        <w:t xml:space="preserve"> </w:t>
      </w:r>
      <w:r w:rsidRPr="00575EA6">
        <w:rPr>
          <w:rFonts w:eastAsia="Times New Roman"/>
          <w:lang w:eastAsia="en-NZ"/>
        </w:rPr>
        <w:t xml:space="preserve">– we are a team, and together a team of teams. Regardless of our role, we work together for a common purpose. We look out for each other and keep each other safe. </w:t>
      </w:r>
      <w:r w:rsidRPr="00575EA6">
        <w:rPr>
          <w:rFonts w:eastAsia="Times New Roman"/>
          <w:lang w:eastAsia="en-NZ"/>
        </w:rPr>
        <w:br/>
      </w:r>
      <w:r w:rsidRPr="00575EA6">
        <w:rPr>
          <w:rFonts w:eastAsia="Times New Roman"/>
          <w:lang w:eastAsia="en-NZ"/>
        </w:rPr>
        <w:br/>
      </w:r>
      <w:r w:rsidRPr="00575EA6">
        <w:rPr>
          <w:rFonts w:eastAsia="Times New Roman"/>
          <w:b/>
          <w:color w:val="15284C"/>
        </w:rPr>
        <w:t xml:space="preserve">Te Korowai </w:t>
      </w:r>
      <w:proofErr w:type="spellStart"/>
      <w:r w:rsidRPr="00575EA6">
        <w:rPr>
          <w:rFonts w:eastAsia="Times New Roman"/>
          <w:b/>
          <w:color w:val="15284C"/>
        </w:rPr>
        <w:t>Āhuru</w:t>
      </w:r>
      <w:proofErr w:type="spellEnd"/>
      <w:r w:rsidRPr="00575EA6">
        <w:rPr>
          <w:rFonts w:eastAsia="Times New Roman"/>
          <w:lang w:eastAsia="en-NZ"/>
        </w:rPr>
        <w:t xml:space="preserve"> – a cloak which seeks to provide safety and comfort to the workforce. </w:t>
      </w:r>
    </w:p>
    <w:p w14:paraId="011AAC6E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> </w:t>
      </w:r>
    </w:p>
    <w:p w14:paraId="77559B2D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 xml:space="preserve">These values underpin how we relate to each other as we serve our whānau and communities. </w:t>
      </w:r>
    </w:p>
    <w:p w14:paraId="2A2EF56D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> </w:t>
      </w:r>
    </w:p>
    <w:p w14:paraId="668A2126" w14:textId="77777777" w:rsidR="008B60DB" w:rsidRPr="00575EA6" w:rsidRDefault="008B60DB" w:rsidP="0056539E">
      <w:pPr>
        <w:rPr>
          <w:rFonts w:eastAsia="Times New Roman"/>
          <w:lang w:eastAsia="en-NZ"/>
        </w:rPr>
      </w:pPr>
      <w:r w:rsidRPr="00575EA6">
        <w:rPr>
          <w:rFonts w:eastAsia="Times New Roman"/>
          <w:lang w:eastAsia="en-NZ"/>
        </w:rPr>
        <w:t xml:space="preserve">Together we will do this by: </w:t>
      </w:r>
    </w:p>
    <w:p w14:paraId="6E774ADC" w14:textId="1D2C1242" w:rsidR="008B60DB" w:rsidRPr="00575EA6" w:rsidRDefault="008B60DB" w:rsidP="0056539E">
      <w:pPr>
        <w:rPr>
          <w:rFonts w:eastAsia="Segoe UI"/>
        </w:rPr>
      </w:pPr>
      <w:r w:rsidRPr="00575EA6">
        <w:rPr>
          <w:rFonts w:eastAsia="Segoe UI"/>
        </w:rPr>
        <w:t>caring for the people</w:t>
      </w:r>
      <w:r w:rsidR="00966227">
        <w:rPr>
          <w:rFonts w:eastAsia="Segoe UI"/>
        </w:rPr>
        <w:t xml:space="preserve">, </w:t>
      </w:r>
      <w:proofErr w:type="spellStart"/>
      <w:r w:rsidRPr="00575EA6">
        <w:rPr>
          <w:rFonts w:eastAsia="Segoe UI"/>
        </w:rPr>
        <w:t>recognising</w:t>
      </w:r>
      <w:proofErr w:type="spellEnd"/>
      <w:r w:rsidRPr="00575EA6">
        <w:rPr>
          <w:rFonts w:eastAsia="Segoe UI"/>
        </w:rPr>
        <w:t xml:space="preserve">, </w:t>
      </w:r>
      <w:proofErr w:type="gramStart"/>
      <w:r w:rsidRPr="00575EA6">
        <w:rPr>
          <w:rFonts w:eastAsia="Segoe UI"/>
        </w:rPr>
        <w:t>supporting</w:t>
      </w:r>
      <w:proofErr w:type="gramEnd"/>
      <w:r w:rsidRPr="00575EA6">
        <w:rPr>
          <w:rFonts w:eastAsia="Segoe UI"/>
        </w:rPr>
        <w:t xml:space="preserve"> and valuing our people and the work we all do</w:t>
      </w:r>
      <w:r w:rsidR="00966227">
        <w:rPr>
          <w:rFonts w:eastAsia="Segoe UI"/>
        </w:rPr>
        <w:t xml:space="preserve"> </w:t>
      </w:r>
      <w:r w:rsidRPr="00575EA6">
        <w:rPr>
          <w:rFonts w:eastAsia="Segoe UI"/>
        </w:rPr>
        <w:t xml:space="preserve">working together to design and deliver services, and defining the competencies and behaviours we expect from everyone. </w:t>
      </w:r>
    </w:p>
    <w:p w14:paraId="4C53A3D3" w14:textId="77777777" w:rsidR="00C130DE" w:rsidRDefault="00C130DE" w:rsidP="0056539E"/>
    <w:p w14:paraId="6ADA806D" w14:textId="77777777" w:rsidR="0056539E" w:rsidRPr="00575EA6" w:rsidRDefault="0056539E" w:rsidP="0056539E">
      <w:bookmarkStart w:id="0" w:name="_Hlk192602386"/>
    </w:p>
    <w:p w14:paraId="5B7DD247" w14:textId="77777777" w:rsidR="000F50C3" w:rsidRPr="0056539E" w:rsidRDefault="0066220B" w:rsidP="0056539E">
      <w:pPr>
        <w:rPr>
          <w:b/>
          <w:bCs/>
          <w:spacing w:val="-4"/>
        </w:rPr>
      </w:pPr>
      <w:r w:rsidRPr="0056539E">
        <w:rPr>
          <w:b/>
          <w:bCs/>
        </w:rPr>
        <w:t>About</w:t>
      </w:r>
      <w:r w:rsidRPr="0056539E">
        <w:rPr>
          <w:b/>
          <w:bCs/>
          <w:spacing w:val="-5"/>
        </w:rPr>
        <w:t xml:space="preserve"> </w:t>
      </w:r>
      <w:r w:rsidRPr="0056539E">
        <w:rPr>
          <w:b/>
          <w:bCs/>
        </w:rPr>
        <w:t>the</w:t>
      </w:r>
      <w:r w:rsidRPr="0056539E">
        <w:rPr>
          <w:b/>
          <w:bCs/>
          <w:spacing w:val="-2"/>
        </w:rPr>
        <w:t xml:space="preserve"> </w:t>
      </w:r>
      <w:r w:rsidRPr="0056539E">
        <w:rPr>
          <w:b/>
          <w:bCs/>
          <w:spacing w:val="-4"/>
        </w:rPr>
        <w:t>role</w:t>
      </w:r>
      <w:r w:rsidR="00056852" w:rsidRPr="0056539E">
        <w:rPr>
          <w:b/>
          <w:bCs/>
          <w:spacing w:val="-4"/>
        </w:rPr>
        <w:tab/>
      </w:r>
    </w:p>
    <w:p w14:paraId="04F8D13A" w14:textId="77777777" w:rsidR="00184F1E" w:rsidRDefault="00184F1E" w:rsidP="0056539E">
      <w:pPr>
        <w:rPr>
          <w:spacing w:val="-4"/>
        </w:rPr>
      </w:pPr>
    </w:p>
    <w:p w14:paraId="587F52F8" w14:textId="6BFC07AE" w:rsidR="00184F1E" w:rsidRPr="0056539E" w:rsidRDefault="00184F1E" w:rsidP="0056539E">
      <w:r>
        <w:t>The primary purpose of this role</w:t>
      </w:r>
      <w:r w:rsidR="3F23A3DF">
        <w:t xml:space="preserve"> </w:t>
      </w:r>
      <w:r w:rsidR="60CA8650">
        <w:t xml:space="preserve">to provide </w:t>
      </w:r>
      <w:r>
        <w:t xml:space="preserve">operational and strategic </w:t>
      </w:r>
      <w:r w:rsidR="692C5BEF">
        <w:t xml:space="preserve">nursing </w:t>
      </w:r>
      <w:r>
        <w:t>leadership across SMHS inpatient services</w:t>
      </w:r>
      <w:r w:rsidR="00966227">
        <w:t xml:space="preserve"> and the broader system</w:t>
      </w:r>
      <w:r>
        <w:t>. The role</w:t>
      </w:r>
      <w:r w:rsidR="6BF23C74">
        <w:t xml:space="preserve"> </w:t>
      </w:r>
      <w:r w:rsidR="00966227">
        <w:t>will ensure</w:t>
      </w:r>
      <w:r>
        <w:t xml:space="preserve"> safe, efficient, culturally responsive care</w:t>
      </w:r>
      <w:r w:rsidR="67DDEE4D">
        <w:t xml:space="preserve"> for tangata whaiora</w:t>
      </w:r>
      <w:r>
        <w:t>,</w:t>
      </w:r>
      <w:r w:rsidR="56895552">
        <w:t xml:space="preserve"> through the </w:t>
      </w:r>
      <w:r w:rsidR="003F2A06">
        <w:t xml:space="preserve">optimization </w:t>
      </w:r>
      <w:r w:rsidR="77026220">
        <w:t>of CCDM</w:t>
      </w:r>
      <w:r w:rsidR="147B2F9E">
        <w:t xml:space="preserve"> and workforce management.</w:t>
      </w:r>
      <w:r w:rsidR="77026220">
        <w:t xml:space="preserve"> </w:t>
      </w:r>
      <w:r>
        <w:t xml:space="preserve"> </w:t>
      </w:r>
    </w:p>
    <w:p w14:paraId="13ADCBB9" w14:textId="0B838DE6" w:rsidR="00184F1E" w:rsidRPr="00575EA6" w:rsidRDefault="1CCAA905" w:rsidP="0056539E">
      <w:r>
        <w:t>The role provides leadership and management of</w:t>
      </w:r>
      <w:r w:rsidR="223C6684">
        <w:t xml:space="preserve"> </w:t>
      </w:r>
      <w:r w:rsidR="003F2A06">
        <w:t>the clinical services unit and afterhours</w:t>
      </w:r>
      <w:r w:rsidR="223C6684">
        <w:t xml:space="preserve"> service provision</w:t>
      </w:r>
      <w:r w:rsidR="003F2A06">
        <w:t>.</w:t>
      </w:r>
    </w:p>
    <w:bookmarkEnd w:id="0"/>
    <w:p w14:paraId="0D6D2731" w14:textId="77777777" w:rsidR="000F50C3" w:rsidRPr="00575EA6" w:rsidRDefault="0066220B" w:rsidP="0056539E">
      <w:pPr>
        <w:rPr>
          <w:b/>
          <w:sz w:val="15"/>
        </w:rPr>
      </w:pPr>
      <w:r w:rsidRPr="00575EA6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10BDB4" wp14:editId="444A8452">
                <wp:simplePos x="0" y="0"/>
                <wp:positionH relativeFrom="page">
                  <wp:posOffset>914400</wp:posOffset>
                </wp:positionH>
                <wp:positionV relativeFrom="paragraph">
                  <wp:posOffset>132264</wp:posOffset>
                </wp:positionV>
                <wp:extent cx="5731510" cy="2032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20320">
                              <a:moveTo>
                                <a:pt x="5731509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731509" y="20320"/>
                              </a:lnTo>
                              <a:lnTo>
                                <a:pt x="5731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28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2E2C1" id="Freeform: Shape 1" o:spid="_x0000_s1026" style="position:absolute;margin-left:1in;margin-top:10.4pt;width:451.3pt;height:1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" path="m5731509,l,,,20320r5731509,l5731509,xe" fillcolor="#14284b" stroked="f">
                <v:path arrowok="t"/>
                <w10:wrap type="topAndBottom" anchorx="page"/>
              </v:shape>
            </w:pict>
          </mc:Fallback>
        </mc:AlternateContent>
      </w:r>
    </w:p>
    <w:p w14:paraId="2F853202" w14:textId="77777777" w:rsidR="00BB72D3" w:rsidRDefault="00BB72D3" w:rsidP="0056539E"/>
    <w:p w14:paraId="23DC3AD7" w14:textId="77777777" w:rsidR="00BB72D3" w:rsidRDefault="00BB72D3" w:rsidP="0056539E">
      <w:pPr>
        <w:rPr>
          <w:rFonts w:eastAsia="Times New Roman"/>
          <w:lang w:eastAsia="en-NZ"/>
        </w:rPr>
      </w:pPr>
    </w:p>
    <w:p w14:paraId="3B3F5D8A" w14:textId="77777777" w:rsidR="0036529E" w:rsidRDefault="0036529E" w:rsidP="0056539E">
      <w:pPr>
        <w:rPr>
          <w:rFonts w:eastAsia="Times New Roman"/>
          <w:lang w:eastAsia="en-NZ"/>
        </w:rPr>
      </w:pPr>
    </w:p>
    <w:p w14:paraId="1C6C3951" w14:textId="77777777" w:rsidR="0036529E" w:rsidRDefault="0036529E" w:rsidP="0056539E">
      <w:pPr>
        <w:rPr>
          <w:rFonts w:eastAsia="Times New Roman"/>
          <w:lang w:eastAsia="en-NZ"/>
        </w:rPr>
      </w:pPr>
    </w:p>
    <w:p w14:paraId="5B597185" w14:textId="77777777" w:rsidR="003F2A06" w:rsidRDefault="003F2A06" w:rsidP="0056539E">
      <w:pPr>
        <w:rPr>
          <w:rFonts w:eastAsia="Times New Roman"/>
          <w:lang w:eastAsia="en-NZ"/>
        </w:rPr>
      </w:pPr>
    </w:p>
    <w:p w14:paraId="52CA01DA" w14:textId="77777777" w:rsidR="008C0356" w:rsidRPr="00575EA6" w:rsidRDefault="008C0356" w:rsidP="0056539E"/>
    <w:p w14:paraId="2AB5E76E" w14:textId="77777777" w:rsidR="004B32AD" w:rsidRPr="0056539E" w:rsidRDefault="004B32AD" w:rsidP="0056539E">
      <w:pPr>
        <w:rPr>
          <w:b/>
          <w:bCs/>
        </w:rPr>
      </w:pPr>
      <w:r w:rsidRPr="0056539E">
        <w:rPr>
          <w:b/>
          <w:bCs/>
        </w:rPr>
        <w:lastRenderedPageBreak/>
        <w:t xml:space="preserve">Key role areas of </w:t>
      </w:r>
      <w:r w:rsidR="00730665" w:rsidRPr="0056539E">
        <w:rPr>
          <w:b/>
          <w:bCs/>
        </w:rPr>
        <w:t>responsibility</w:t>
      </w:r>
    </w:p>
    <w:p w14:paraId="1F7C3BA2" w14:textId="77777777" w:rsidR="008C0356" w:rsidRPr="00575EA6" w:rsidRDefault="008C0356" w:rsidP="0056539E"/>
    <w:tbl>
      <w:tblPr>
        <w:tblW w:w="0" w:type="auto"/>
        <w:tblInd w:w="11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42"/>
        <w:gridCol w:w="7088"/>
      </w:tblGrid>
      <w:tr w:rsidR="008C0356" w:rsidRPr="00575EA6" w14:paraId="27A0099D" w14:textId="77777777" w:rsidTr="1A2A4ECA">
        <w:trPr>
          <w:trHeight w:val="268"/>
        </w:trPr>
        <w:tc>
          <w:tcPr>
            <w:tcW w:w="2155" w:type="dxa"/>
            <w:tcBorders>
              <w:left w:val="nil"/>
            </w:tcBorders>
          </w:tcPr>
          <w:p w14:paraId="7C087311" w14:textId="77777777" w:rsidR="008C0356" w:rsidRPr="00575EA6" w:rsidRDefault="008C0356" w:rsidP="0056539E">
            <w:pPr>
              <w:rPr>
                <w:b/>
              </w:rPr>
            </w:pPr>
            <w:r w:rsidRPr="00575EA6">
              <w:rPr>
                <w:b/>
              </w:rPr>
              <w:t>Key</w:t>
            </w:r>
            <w:r w:rsidRPr="00575EA6">
              <w:rPr>
                <w:b/>
                <w:spacing w:val="-6"/>
              </w:rPr>
              <w:t xml:space="preserve"> </w:t>
            </w:r>
            <w:r w:rsidRPr="00575EA6">
              <w:rPr>
                <w:b/>
              </w:rPr>
              <w:t>Result</w:t>
            </w:r>
            <w:r w:rsidRPr="00575EA6">
              <w:rPr>
                <w:b/>
                <w:spacing w:val="-3"/>
              </w:rPr>
              <w:t xml:space="preserve"> </w:t>
            </w:r>
            <w:r w:rsidRPr="00575EA6">
              <w:rPr>
                <w:b/>
                <w:spacing w:val="-4"/>
              </w:rPr>
              <w:t>Area</w:t>
            </w:r>
          </w:p>
        </w:tc>
        <w:tc>
          <w:tcPr>
            <w:tcW w:w="7230" w:type="dxa"/>
            <w:gridSpan w:val="2"/>
            <w:tcBorders>
              <w:right w:val="nil"/>
            </w:tcBorders>
          </w:tcPr>
          <w:p w14:paraId="6B333C5F" w14:textId="77777777" w:rsidR="008C0356" w:rsidRPr="00575EA6" w:rsidRDefault="008C0356" w:rsidP="0056539E">
            <w:pPr>
              <w:rPr>
                <w:b/>
              </w:rPr>
            </w:pPr>
            <w:r w:rsidRPr="00575EA6">
              <w:rPr>
                <w:b/>
              </w:rPr>
              <w:t>Expected</w:t>
            </w:r>
            <w:r w:rsidRPr="00575EA6">
              <w:rPr>
                <w:b/>
                <w:spacing w:val="-7"/>
              </w:rPr>
              <w:t xml:space="preserve"> </w:t>
            </w:r>
            <w:r w:rsidRPr="00575EA6">
              <w:rPr>
                <w:b/>
              </w:rPr>
              <w:t>Outcomes</w:t>
            </w:r>
            <w:r w:rsidRPr="00575EA6">
              <w:rPr>
                <w:b/>
                <w:spacing w:val="-7"/>
              </w:rPr>
              <w:t xml:space="preserve"> </w:t>
            </w:r>
            <w:r w:rsidRPr="00575EA6">
              <w:rPr>
                <w:b/>
              </w:rPr>
              <w:t>/</w:t>
            </w:r>
            <w:r w:rsidRPr="00575EA6">
              <w:rPr>
                <w:b/>
                <w:spacing w:val="-4"/>
              </w:rPr>
              <w:t xml:space="preserve"> </w:t>
            </w:r>
            <w:r w:rsidRPr="00575EA6">
              <w:rPr>
                <w:b/>
              </w:rPr>
              <w:t>Performance</w:t>
            </w:r>
            <w:r w:rsidRPr="00575EA6">
              <w:rPr>
                <w:b/>
                <w:spacing w:val="-6"/>
              </w:rPr>
              <w:t xml:space="preserve"> </w:t>
            </w:r>
            <w:r w:rsidRPr="00575EA6">
              <w:rPr>
                <w:b/>
              </w:rPr>
              <w:t>Indicators</w:t>
            </w:r>
            <w:r w:rsidRPr="00575EA6">
              <w:rPr>
                <w:b/>
                <w:spacing w:val="-3"/>
              </w:rPr>
              <w:t xml:space="preserve"> </w:t>
            </w:r>
            <w:r w:rsidRPr="00575EA6">
              <w:rPr>
                <w:b/>
              </w:rPr>
              <w:t>–</w:t>
            </w:r>
            <w:r w:rsidRPr="00575EA6">
              <w:rPr>
                <w:b/>
                <w:spacing w:val="-7"/>
              </w:rPr>
              <w:t xml:space="preserve"> </w:t>
            </w:r>
            <w:r w:rsidRPr="00575EA6">
              <w:rPr>
                <w:b/>
              </w:rPr>
              <w:t>Position</w:t>
            </w:r>
            <w:r w:rsidRPr="00575EA6">
              <w:rPr>
                <w:b/>
                <w:spacing w:val="-5"/>
              </w:rPr>
              <w:t xml:space="preserve"> </w:t>
            </w:r>
            <w:r w:rsidRPr="00575EA6">
              <w:rPr>
                <w:b/>
                <w:spacing w:val="-2"/>
              </w:rPr>
              <w:t>Specific</w:t>
            </w:r>
          </w:p>
        </w:tc>
      </w:tr>
      <w:tr w:rsidR="008C0356" w:rsidRPr="00575EA6" w14:paraId="01141A17" w14:textId="77777777" w:rsidTr="003F2A06">
        <w:trPr>
          <w:trHeight w:val="3138"/>
        </w:trPr>
        <w:tc>
          <w:tcPr>
            <w:tcW w:w="2297" w:type="dxa"/>
            <w:gridSpan w:val="2"/>
            <w:tcBorders>
              <w:left w:val="nil"/>
            </w:tcBorders>
          </w:tcPr>
          <w:p w14:paraId="419DA4AD" w14:textId="77777777" w:rsidR="008C0356" w:rsidRPr="0056539E" w:rsidRDefault="0056539E" w:rsidP="0056539E">
            <w:p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Professional Responsibility</w:t>
            </w:r>
          </w:p>
        </w:tc>
        <w:tc>
          <w:tcPr>
            <w:tcW w:w="7088" w:type="dxa"/>
            <w:tcBorders>
              <w:right w:val="nil"/>
            </w:tcBorders>
          </w:tcPr>
          <w:p w14:paraId="7BCB8B7F" w14:textId="77777777" w:rsidR="007B1420" w:rsidRPr="0056539E" w:rsidRDefault="007B1420" w:rsidP="0013463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56539E">
              <w:rPr>
                <w:rFonts w:asciiTheme="minorHAnsi" w:eastAsia="Times New Roman" w:hAnsiTheme="minorHAnsi" w:cstheme="minorHAnsi"/>
                <w:lang w:val="en-NZ" w:eastAsia="en-NZ"/>
              </w:rPr>
              <w:t xml:space="preserve">Works consistently within the Kaupapa of the Specialist Mental Health Service. </w:t>
            </w:r>
          </w:p>
          <w:p w14:paraId="4AB375BB" w14:textId="77777777" w:rsidR="007B1420" w:rsidRPr="0056539E" w:rsidRDefault="007B1420" w:rsidP="0013463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56539E">
              <w:rPr>
                <w:rFonts w:asciiTheme="minorHAnsi" w:eastAsia="Times New Roman" w:hAnsiTheme="minorHAnsi" w:cstheme="minorHAnsi"/>
                <w:lang w:val="en-NZ" w:eastAsia="en-NZ"/>
              </w:rPr>
              <w:t xml:space="preserve">Ensures personal mandatory training and professional requirements are current. </w:t>
            </w:r>
          </w:p>
          <w:p w14:paraId="61B864AB" w14:textId="77777777" w:rsidR="007B1420" w:rsidRPr="0056539E" w:rsidRDefault="007B1420" w:rsidP="0013463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56539E">
              <w:rPr>
                <w:rFonts w:asciiTheme="minorHAnsi" w:eastAsia="Times New Roman" w:hAnsiTheme="minorHAnsi" w:cstheme="minorHAnsi"/>
                <w:lang w:val="en-NZ" w:eastAsia="en-NZ"/>
              </w:rPr>
              <w:t xml:space="preserve">Promotes environments that support tangata whaiora safety, independence, quality of life and health. </w:t>
            </w:r>
          </w:p>
          <w:p w14:paraId="79FAD6E0" w14:textId="77777777" w:rsidR="007B1420" w:rsidRPr="0056539E" w:rsidRDefault="007B1420" w:rsidP="0013463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56539E">
              <w:rPr>
                <w:rFonts w:asciiTheme="minorHAnsi" w:eastAsia="Times New Roman" w:hAnsiTheme="minorHAnsi" w:cstheme="minorHAnsi"/>
                <w:lang w:val="en-NZ" w:eastAsia="en-NZ"/>
              </w:rPr>
              <w:t xml:space="preserve">Maintains confidentiality, dignity, and respect for tangata whaiora rights, beliefs and values. </w:t>
            </w:r>
          </w:p>
          <w:p w14:paraId="452648EF" w14:textId="77777777" w:rsidR="003F2A06" w:rsidRDefault="007B1420" w:rsidP="003F2A06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Bidi"/>
                <w:lang w:val="en-NZ" w:eastAsia="en-NZ"/>
              </w:rPr>
            </w:pPr>
            <w:proofErr w:type="gramStart"/>
            <w:r w:rsidRPr="0056539E">
              <w:rPr>
                <w:rFonts w:asciiTheme="minorHAnsi" w:eastAsia="Times New Roman" w:hAnsiTheme="minorHAnsi" w:cstheme="minorHAnsi"/>
                <w:lang w:val="en-NZ" w:eastAsia="en-NZ"/>
              </w:rPr>
              <w:t xml:space="preserve">Acts and presents professionally </w:t>
            </w:r>
            <w:r w:rsidR="0056539E" w:rsidRPr="0056539E">
              <w:rPr>
                <w:rFonts w:asciiTheme="minorHAnsi" w:eastAsia="Times New Roman" w:hAnsiTheme="minorHAnsi" w:cstheme="minorHAnsi"/>
                <w:lang w:val="en-NZ" w:eastAsia="en-NZ"/>
              </w:rPr>
              <w:t>a</w:t>
            </w:r>
            <w:r w:rsidRPr="0056539E">
              <w:rPr>
                <w:rFonts w:asciiTheme="minorHAnsi" w:eastAsia="Times New Roman" w:hAnsiTheme="minorHAnsi" w:cstheme="minorHAnsi"/>
                <w:lang w:val="en-NZ" w:eastAsia="en-NZ"/>
              </w:rPr>
              <w:t>t all times</w:t>
            </w:r>
            <w:proofErr w:type="gramEnd"/>
            <w:r w:rsidRPr="0056539E">
              <w:rPr>
                <w:rFonts w:asciiTheme="minorHAnsi" w:eastAsia="Times New Roman" w:hAnsiTheme="minorHAnsi" w:cstheme="minorHAnsi"/>
                <w:lang w:val="en-NZ" w:eastAsia="en-NZ"/>
              </w:rPr>
              <w:t>.</w:t>
            </w:r>
            <w:r w:rsidR="003F2A06" w:rsidRPr="1A2A4ECA">
              <w:rPr>
                <w:rFonts w:asciiTheme="minorHAnsi" w:eastAsia="Times New Roman" w:hAnsiTheme="minorHAnsi" w:cstheme="minorBidi"/>
                <w:lang w:val="en-NZ" w:eastAsia="en-NZ"/>
              </w:rPr>
              <w:t xml:space="preserve"> </w:t>
            </w:r>
          </w:p>
          <w:p w14:paraId="64481760" w14:textId="77777777" w:rsidR="007301C3" w:rsidRDefault="003F2A06" w:rsidP="003F2A06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Bidi"/>
                <w:lang w:val="en-NZ" w:eastAsia="en-NZ"/>
              </w:rPr>
            </w:pPr>
            <w:proofErr w:type="gramStart"/>
            <w:r w:rsidRPr="1A2A4ECA">
              <w:rPr>
                <w:rFonts w:asciiTheme="minorHAnsi" w:eastAsia="Times New Roman" w:hAnsiTheme="minorHAnsi" w:cstheme="minorBidi"/>
                <w:lang w:val="en-NZ" w:eastAsia="en-NZ"/>
              </w:rPr>
              <w:t>Complies with Health NZ | Waitaha Canterbury policies and procedures at all times</w:t>
            </w:r>
            <w:proofErr w:type="gramEnd"/>
            <w:r w:rsidRPr="1A2A4ECA">
              <w:rPr>
                <w:rFonts w:asciiTheme="minorHAnsi" w:eastAsia="Times New Roman" w:hAnsiTheme="minorHAnsi" w:cstheme="minorBidi"/>
                <w:lang w:val="en-NZ" w:eastAsia="en-NZ"/>
              </w:rPr>
              <w:t xml:space="preserve">. </w:t>
            </w:r>
          </w:p>
          <w:p w14:paraId="271238A7" w14:textId="7AC4A057" w:rsidR="003F2A06" w:rsidRPr="003F2A06" w:rsidRDefault="003F2A06" w:rsidP="003F2A06">
            <w:pPr>
              <w:pStyle w:val="ListParagraph"/>
              <w:ind w:left="720" w:firstLine="0"/>
              <w:rPr>
                <w:rFonts w:asciiTheme="minorHAnsi" w:eastAsia="Times New Roman" w:hAnsiTheme="minorHAnsi" w:cstheme="minorBidi"/>
                <w:lang w:val="en-NZ" w:eastAsia="en-NZ"/>
              </w:rPr>
            </w:pPr>
          </w:p>
        </w:tc>
      </w:tr>
      <w:tr w:rsidR="008C0356" w:rsidRPr="004D6D7E" w14:paraId="3E5EDCEA" w14:textId="77777777" w:rsidTr="1A2A4ECA">
        <w:trPr>
          <w:trHeight w:val="699"/>
        </w:trPr>
        <w:tc>
          <w:tcPr>
            <w:tcW w:w="2297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399967" w14:textId="77777777" w:rsidR="008C0356" w:rsidRPr="0056539E" w:rsidRDefault="007B1420" w:rsidP="0056539E">
            <w:p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Operational leadership</w:t>
            </w:r>
          </w:p>
        </w:tc>
        <w:tc>
          <w:tcPr>
            <w:tcW w:w="7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6BBEF555" w14:textId="77777777" w:rsidR="00184F1E" w:rsidRPr="0056539E" w:rsidRDefault="00184F1E" w:rsidP="0013463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Leads safe staffing and nursing resource allocation across SMHS, using CCDM, VRM and pool resources.</w:t>
            </w:r>
          </w:p>
          <w:p w14:paraId="17D6BF6F" w14:textId="77777777" w:rsidR="00184F1E" w:rsidRPr="0056539E" w:rsidRDefault="00184F1E" w:rsidP="0013463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Responds to emerging operational issues, ensuring safe, effective daily functioning.</w:t>
            </w:r>
          </w:p>
          <w:p w14:paraId="13669E45" w14:textId="77777777" w:rsidR="00184F1E" w:rsidRDefault="00184F1E" w:rsidP="0013463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Provides line management for after</w:t>
            </w:r>
            <w:r w:rsidRPr="0056539E">
              <w:rPr>
                <w:rFonts w:ascii="Cambria Math" w:hAnsi="Cambria Math" w:cs="Cambria Math"/>
              </w:rPr>
              <w:t>‑</w:t>
            </w:r>
            <w:r w:rsidRPr="0056539E">
              <w:rPr>
                <w:rFonts w:asciiTheme="minorHAnsi" w:hAnsiTheme="minorHAnsi" w:cstheme="minorHAnsi"/>
              </w:rPr>
              <w:t>hours leadership, CNM Pool/Rosters, ECT Team, and Clinical Services Unit.</w:t>
            </w:r>
          </w:p>
          <w:p w14:paraId="0A5D72E4" w14:textId="3E0D4382" w:rsidR="00803B49" w:rsidRPr="00803B49" w:rsidRDefault="00803B49" w:rsidP="0013463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t xml:space="preserve">Develops functional systems and processes between </w:t>
            </w:r>
            <w:proofErr w:type="spellStart"/>
            <w:r>
              <w:t>EmMHS</w:t>
            </w:r>
            <w:proofErr w:type="spellEnd"/>
            <w:r>
              <w:t xml:space="preserve"> and DNM.</w:t>
            </w:r>
          </w:p>
          <w:p w14:paraId="3CDB65B0" w14:textId="6BD94C9F" w:rsidR="00184F1E" w:rsidRPr="0056539E" w:rsidRDefault="00184F1E" w:rsidP="0013463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Acts as nursing operational lead during emergency responses within office hours.</w:t>
            </w:r>
          </w:p>
          <w:p w14:paraId="47D8E621" w14:textId="77777777" w:rsidR="00184F1E" w:rsidRPr="0056539E" w:rsidRDefault="00184F1E" w:rsidP="0013463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Participates in the after</w:t>
            </w:r>
            <w:r w:rsidRPr="0056539E">
              <w:rPr>
                <w:rFonts w:ascii="Cambria Math" w:hAnsi="Cambria Math" w:cs="Cambria Math"/>
              </w:rPr>
              <w:t>‑</w:t>
            </w:r>
            <w:r w:rsidRPr="0056539E">
              <w:rPr>
                <w:rFonts w:asciiTheme="minorHAnsi" w:hAnsiTheme="minorHAnsi" w:cstheme="minorHAnsi"/>
              </w:rPr>
              <w:t>hours on</w:t>
            </w:r>
            <w:r w:rsidRPr="0056539E">
              <w:rPr>
                <w:rFonts w:ascii="Cambria Math" w:hAnsi="Cambria Math" w:cs="Cambria Math"/>
              </w:rPr>
              <w:t>‑</w:t>
            </w:r>
            <w:r w:rsidRPr="0056539E">
              <w:rPr>
                <w:rFonts w:asciiTheme="minorHAnsi" w:hAnsiTheme="minorHAnsi" w:cstheme="minorHAnsi"/>
              </w:rPr>
              <w:t>call roster.</w:t>
            </w:r>
          </w:p>
          <w:p w14:paraId="42A6CDDD" w14:textId="22AFB996" w:rsidR="003F2A06" w:rsidRPr="0056539E" w:rsidRDefault="003F2A06" w:rsidP="003F2A0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1A2A4ECA">
              <w:rPr>
                <w:rFonts w:asciiTheme="minorHAnsi" w:hAnsiTheme="minorHAnsi" w:cstheme="minorBidi"/>
              </w:rPr>
              <w:t xml:space="preserve">Escalates </w:t>
            </w:r>
            <w:r w:rsidR="00110677" w:rsidRPr="1A2A4ECA">
              <w:rPr>
                <w:rFonts w:asciiTheme="minorHAnsi" w:hAnsiTheme="minorHAnsi" w:cstheme="minorBidi"/>
              </w:rPr>
              <w:t>long</w:t>
            </w:r>
            <w:r w:rsidR="00110677" w:rsidRPr="1A2A4ECA">
              <w:rPr>
                <w:rFonts w:ascii="Cambria Math" w:hAnsi="Cambria Math" w:cs="Cambria Math"/>
              </w:rPr>
              <w:t>-</w:t>
            </w:r>
            <w:r w:rsidR="00110677" w:rsidRPr="1A2A4ECA">
              <w:rPr>
                <w:rFonts w:asciiTheme="minorHAnsi" w:hAnsiTheme="minorHAnsi" w:cstheme="minorBidi"/>
              </w:rPr>
              <w:t>term</w:t>
            </w:r>
            <w:r w:rsidRPr="1A2A4ECA">
              <w:rPr>
                <w:rFonts w:asciiTheme="minorHAnsi" w:hAnsiTheme="minorHAnsi" w:cstheme="minorBidi"/>
              </w:rPr>
              <w:t xml:space="preserve"> or systemic issues to senior nursing and operational leadership and contributes to resolution.</w:t>
            </w:r>
          </w:p>
          <w:p w14:paraId="67016DFB" w14:textId="77777777" w:rsidR="00184F1E" w:rsidRPr="0056539E" w:rsidRDefault="00184F1E" w:rsidP="0013463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spellStart"/>
            <w:r w:rsidRPr="0056539E">
              <w:rPr>
                <w:rFonts w:asciiTheme="minorHAnsi" w:hAnsiTheme="minorHAnsi" w:cstheme="minorHAnsi"/>
              </w:rPr>
              <w:t>Deputises</w:t>
            </w:r>
            <w:proofErr w:type="spellEnd"/>
            <w:r w:rsidRPr="0056539E">
              <w:rPr>
                <w:rFonts w:asciiTheme="minorHAnsi" w:hAnsiTheme="minorHAnsi" w:cstheme="minorHAnsi"/>
              </w:rPr>
              <w:t xml:space="preserve"> for senior leadership as required, maintaining clear communication.</w:t>
            </w:r>
          </w:p>
          <w:p w14:paraId="3CE528E6" w14:textId="77777777" w:rsidR="007301C3" w:rsidRPr="0056539E" w:rsidRDefault="007301C3" w:rsidP="1A2A4ECA">
            <w:pPr>
              <w:rPr>
                <w:rFonts w:asciiTheme="minorHAnsi" w:hAnsiTheme="minorHAnsi" w:cstheme="minorBidi"/>
              </w:rPr>
            </w:pPr>
          </w:p>
        </w:tc>
      </w:tr>
      <w:tr w:rsidR="00465F46" w:rsidRPr="004D6D7E" w14:paraId="7749E570" w14:textId="77777777" w:rsidTr="1A2A4ECA">
        <w:trPr>
          <w:trHeight w:val="699"/>
        </w:trPr>
        <w:tc>
          <w:tcPr>
            <w:tcW w:w="2297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4DE349" w14:textId="77777777" w:rsidR="00465F46" w:rsidRPr="0056539E" w:rsidRDefault="007B1420" w:rsidP="0056539E">
            <w:p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People and culture leadership</w:t>
            </w:r>
          </w:p>
        </w:tc>
        <w:tc>
          <w:tcPr>
            <w:tcW w:w="7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3F153F09" w14:textId="77777777" w:rsidR="0056539E" w:rsidRPr="0056539E" w:rsidRDefault="0056539E" w:rsidP="001346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Leads, manages and develops performance across after</w:t>
            </w:r>
            <w:r w:rsidRPr="0056539E">
              <w:rPr>
                <w:rFonts w:ascii="Cambria Math" w:hAnsi="Cambria Math" w:cs="Cambria Math"/>
              </w:rPr>
              <w:t>‑</w:t>
            </w:r>
            <w:r w:rsidRPr="0056539E">
              <w:rPr>
                <w:rFonts w:asciiTheme="minorHAnsi" w:hAnsiTheme="minorHAnsi" w:cstheme="minorHAnsi"/>
              </w:rPr>
              <w:t>hours nursing, CSU and Rosters.</w:t>
            </w:r>
          </w:p>
          <w:p w14:paraId="2D201C1B" w14:textId="77777777" w:rsidR="00184F1E" w:rsidRPr="0056539E" w:rsidRDefault="00184F1E" w:rsidP="001346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Promotes values, behaviours, professionalism, and strong team culture.</w:t>
            </w:r>
          </w:p>
          <w:p w14:paraId="43E2F77F" w14:textId="77777777" w:rsidR="00184F1E" w:rsidRPr="0056539E" w:rsidRDefault="00184F1E" w:rsidP="001346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Builds workforce capability, resilience and succession pathways.</w:t>
            </w:r>
          </w:p>
          <w:p w14:paraId="5A009A5E" w14:textId="3F6C4152" w:rsidR="00184F1E" w:rsidRPr="0056539E" w:rsidRDefault="00184F1E" w:rsidP="001346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1A2A4ECA">
              <w:rPr>
                <w:rFonts w:asciiTheme="minorHAnsi" w:hAnsiTheme="minorHAnsi" w:cstheme="minorBidi"/>
              </w:rPr>
              <w:t xml:space="preserve">Oversees professional development planning for </w:t>
            </w:r>
            <w:r w:rsidR="00176EA5" w:rsidRPr="1A2A4ECA">
              <w:rPr>
                <w:rFonts w:asciiTheme="minorHAnsi" w:hAnsiTheme="minorHAnsi" w:cstheme="minorBidi"/>
              </w:rPr>
              <w:t>after</w:t>
            </w:r>
            <w:r w:rsidR="00176EA5" w:rsidRPr="1A2A4ECA">
              <w:rPr>
                <w:rFonts w:ascii="Cambria Math" w:hAnsi="Cambria Math" w:cs="Cambria Math"/>
              </w:rPr>
              <w:t>h</w:t>
            </w:r>
            <w:r w:rsidR="00176EA5" w:rsidRPr="1A2A4ECA">
              <w:rPr>
                <w:rFonts w:asciiTheme="minorHAnsi" w:hAnsiTheme="minorHAnsi" w:cstheme="minorBidi"/>
              </w:rPr>
              <w:t>ours</w:t>
            </w:r>
            <w:r w:rsidR="28F46B60" w:rsidRPr="1A2A4ECA">
              <w:rPr>
                <w:rFonts w:asciiTheme="minorHAnsi" w:hAnsiTheme="minorHAnsi" w:cstheme="minorBidi"/>
              </w:rPr>
              <w:t xml:space="preserve"> nursing</w:t>
            </w:r>
            <w:r w:rsidR="003F2A06">
              <w:rPr>
                <w:rFonts w:asciiTheme="minorHAnsi" w:hAnsiTheme="minorHAnsi" w:cstheme="minorBidi"/>
              </w:rPr>
              <w:t>.</w:t>
            </w:r>
            <w:r w:rsidRPr="1A2A4ECA">
              <w:rPr>
                <w:rFonts w:asciiTheme="minorHAnsi" w:hAnsiTheme="minorHAnsi" w:cstheme="minorBidi"/>
              </w:rPr>
              <w:t xml:space="preserve"> </w:t>
            </w:r>
            <w:r w:rsidRPr="0056539E">
              <w:rPr>
                <w:rFonts w:asciiTheme="minorHAnsi" w:hAnsiTheme="minorHAnsi" w:cstheme="minorHAnsi"/>
              </w:rPr>
              <w:t>Supports nurse retention, wellbeing, and practice development.</w:t>
            </w:r>
          </w:p>
          <w:p w14:paraId="78FB4985" w14:textId="77777777" w:rsidR="00465F46" w:rsidRDefault="00184F1E" w:rsidP="001346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Coaches and empowers staff to ensure a safe, high</w:t>
            </w:r>
            <w:r w:rsidRPr="0056539E">
              <w:rPr>
                <w:rFonts w:ascii="Cambria Math" w:hAnsi="Cambria Math" w:cs="Cambria Math"/>
              </w:rPr>
              <w:t>‑</w:t>
            </w:r>
            <w:r w:rsidRPr="0056539E">
              <w:rPr>
                <w:rFonts w:asciiTheme="minorHAnsi" w:hAnsiTheme="minorHAnsi" w:cstheme="minorHAnsi"/>
              </w:rPr>
              <w:t>performing service.</w:t>
            </w:r>
          </w:p>
          <w:p w14:paraId="642EED13" w14:textId="5409046A" w:rsidR="003F2A06" w:rsidRPr="0056539E" w:rsidRDefault="003F2A06" w:rsidP="003F2A06">
            <w:pPr>
              <w:pStyle w:val="ListParagraph"/>
              <w:ind w:left="720" w:firstLine="0"/>
              <w:rPr>
                <w:rFonts w:asciiTheme="minorHAnsi" w:hAnsiTheme="minorHAnsi" w:cstheme="minorHAnsi"/>
              </w:rPr>
            </w:pPr>
          </w:p>
        </w:tc>
      </w:tr>
      <w:tr w:rsidR="00465F46" w:rsidRPr="004D6D7E" w14:paraId="3F465CAC" w14:textId="77777777" w:rsidTr="1A2A4ECA">
        <w:trPr>
          <w:trHeight w:val="699"/>
        </w:trPr>
        <w:tc>
          <w:tcPr>
            <w:tcW w:w="2297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FD56" w14:textId="77777777" w:rsidR="00465F46" w:rsidRPr="0056539E" w:rsidRDefault="00465F46" w:rsidP="0056539E">
            <w:p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 xml:space="preserve">Strategy </w:t>
            </w:r>
            <w:r w:rsidR="007B1420" w:rsidRPr="0056539E">
              <w:rPr>
                <w:rFonts w:asciiTheme="minorHAnsi" w:hAnsiTheme="minorHAnsi" w:cstheme="minorHAnsi"/>
              </w:rPr>
              <w:t xml:space="preserve">Leadership and Service </w:t>
            </w:r>
            <w:r w:rsidR="00411C11" w:rsidRPr="0056539E"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7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34AABA0" w14:textId="5B406C8D" w:rsidR="00184F1E" w:rsidRPr="0056539E" w:rsidRDefault="00184F1E" w:rsidP="001346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</w:rPr>
            </w:pPr>
            <w:r w:rsidRPr="1A2A4ECA">
              <w:rPr>
                <w:rFonts w:asciiTheme="minorHAnsi" w:hAnsiTheme="minorHAnsi" w:cstheme="minorBidi"/>
              </w:rPr>
              <w:t xml:space="preserve">Provides strategic and operational nursing leadership </w:t>
            </w:r>
            <w:r w:rsidR="3FD90505" w:rsidRPr="1A2A4ECA">
              <w:rPr>
                <w:rFonts w:asciiTheme="minorHAnsi" w:hAnsiTheme="minorHAnsi" w:cstheme="minorBidi"/>
              </w:rPr>
              <w:t>delegated by</w:t>
            </w:r>
            <w:r w:rsidRPr="1A2A4ECA">
              <w:rPr>
                <w:rFonts w:asciiTheme="minorHAnsi" w:hAnsiTheme="minorHAnsi" w:cstheme="minorBidi"/>
              </w:rPr>
              <w:t xml:space="preserve"> the Director of Nursing.</w:t>
            </w:r>
          </w:p>
          <w:p w14:paraId="12A6FBBC" w14:textId="77777777" w:rsidR="00184F1E" w:rsidRPr="0056539E" w:rsidRDefault="00184F1E" w:rsidP="001346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Leads standardisation and service improvement initiatives.</w:t>
            </w:r>
          </w:p>
          <w:p w14:paraId="2B141046" w14:textId="77777777" w:rsidR="00184F1E" w:rsidRPr="0056539E" w:rsidRDefault="00184F1E" w:rsidP="001346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Forms strategi</w:t>
            </w:r>
            <w:r w:rsidR="0056539E" w:rsidRPr="0056539E">
              <w:rPr>
                <w:rFonts w:asciiTheme="minorHAnsi" w:hAnsiTheme="minorHAnsi" w:cstheme="minorHAnsi"/>
              </w:rPr>
              <w:t>c</w:t>
            </w:r>
            <w:r w:rsidRPr="0056539E">
              <w:rPr>
                <w:rFonts w:asciiTheme="minorHAnsi" w:hAnsiTheme="minorHAnsi" w:cstheme="minorHAnsi"/>
              </w:rPr>
              <w:t xml:space="preserve"> partnerships across Te Whatu Ora | Waitaha.</w:t>
            </w:r>
          </w:p>
          <w:p w14:paraId="3BC11104" w14:textId="77777777" w:rsidR="00184F1E" w:rsidRPr="0056539E" w:rsidRDefault="00184F1E" w:rsidP="001346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Ensures daily operations align with organisational strategy.</w:t>
            </w:r>
          </w:p>
          <w:p w14:paraId="78B69A25" w14:textId="77777777" w:rsidR="00184F1E" w:rsidRPr="0056539E" w:rsidRDefault="00184F1E" w:rsidP="001346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Develops business and operational plans for after</w:t>
            </w:r>
            <w:r w:rsidRPr="0056539E">
              <w:rPr>
                <w:rFonts w:ascii="Cambria Math" w:hAnsi="Cambria Math" w:cs="Cambria Math"/>
              </w:rPr>
              <w:t>‑</w:t>
            </w:r>
            <w:r w:rsidRPr="0056539E">
              <w:rPr>
                <w:rFonts w:asciiTheme="minorHAnsi" w:hAnsiTheme="minorHAnsi" w:cstheme="minorHAnsi"/>
              </w:rPr>
              <w:t>hours nursing.</w:t>
            </w:r>
          </w:p>
          <w:p w14:paraId="10447987" w14:textId="77777777" w:rsidR="00184F1E" w:rsidRPr="0056539E" w:rsidRDefault="00184F1E" w:rsidP="001346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Contributes to regional and local nursing strategy.</w:t>
            </w:r>
          </w:p>
          <w:p w14:paraId="2DF6DBBA" w14:textId="77777777" w:rsidR="00184F1E" w:rsidRPr="0056539E" w:rsidRDefault="00184F1E" w:rsidP="0013463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6539E">
              <w:rPr>
                <w:rFonts w:asciiTheme="minorHAnsi" w:hAnsiTheme="minorHAnsi" w:cstheme="minorHAnsi"/>
              </w:rPr>
              <w:t>Identifies operational issues with strategic impact and informs stakeholders.</w:t>
            </w:r>
          </w:p>
          <w:p w14:paraId="7258446F" w14:textId="77777777" w:rsidR="00465F46" w:rsidRPr="0056539E" w:rsidRDefault="00465F46" w:rsidP="0056539E">
            <w:pPr>
              <w:rPr>
                <w:rFonts w:asciiTheme="minorHAnsi" w:hAnsiTheme="minorHAnsi" w:cstheme="minorHAnsi"/>
              </w:rPr>
            </w:pPr>
          </w:p>
        </w:tc>
      </w:tr>
      <w:tr w:rsidR="00465F46" w:rsidRPr="004D6D7E" w14:paraId="0054D131" w14:textId="77777777" w:rsidTr="1A2A4ECA">
        <w:trPr>
          <w:trHeight w:val="699"/>
        </w:trPr>
        <w:tc>
          <w:tcPr>
            <w:tcW w:w="2297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39F2C6" w14:textId="39C2ED63" w:rsidR="00465F46" w:rsidRDefault="003F2A06" w:rsidP="0056539E">
            <w:proofErr w:type="spellStart"/>
            <w:r>
              <w:t>Organisation</w:t>
            </w:r>
            <w:proofErr w:type="spellEnd"/>
            <w:r>
              <w:t>-</w:t>
            </w:r>
            <w:proofErr w:type="gramStart"/>
            <w:r>
              <w:t>Wide  Change</w:t>
            </w:r>
            <w:proofErr w:type="gramEnd"/>
            <w:r>
              <w:t xml:space="preserve"> Leadership </w:t>
            </w:r>
          </w:p>
        </w:tc>
        <w:tc>
          <w:tcPr>
            <w:tcW w:w="7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28237EC2" w14:textId="3B012E83" w:rsidR="00184F1E" w:rsidRDefault="003F2A06" w:rsidP="0013463A">
            <w:pPr>
              <w:pStyle w:val="ListParagraph"/>
              <w:numPr>
                <w:ilvl w:val="0"/>
                <w:numId w:val="5"/>
              </w:numPr>
            </w:pPr>
            <w:r>
              <w:t>As delegated by the DoN d</w:t>
            </w:r>
            <w:r w:rsidR="00184F1E">
              <w:t xml:space="preserve">evelops, </w:t>
            </w:r>
            <w:proofErr w:type="gramStart"/>
            <w:r w:rsidR="00184F1E">
              <w:t>maintains</w:t>
            </w:r>
            <w:proofErr w:type="gramEnd"/>
            <w:r w:rsidR="00184F1E">
              <w:t xml:space="preserve"> and evaluates </w:t>
            </w:r>
            <w:r w:rsidR="23BC64FF">
              <w:t xml:space="preserve">CCDM </w:t>
            </w:r>
            <w:r w:rsidR="00184F1E">
              <w:t>systems supporting safe, high</w:t>
            </w:r>
            <w:r w:rsidR="00184F1E" w:rsidRPr="1A2A4ECA">
              <w:rPr>
                <w:rFonts w:ascii="Cambria Math" w:hAnsi="Cambria Math" w:cs="Cambria Math"/>
              </w:rPr>
              <w:t>￼</w:t>
            </w:r>
            <w:r w:rsidR="00184F1E">
              <w:t>quality care.</w:t>
            </w:r>
          </w:p>
          <w:p w14:paraId="74C29072" w14:textId="77777777" w:rsidR="5289B135" w:rsidRDefault="5289B135" w:rsidP="0013463A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Ensures CCDM tools are embedded and used appropriately.</w:t>
            </w:r>
          </w:p>
          <w:p w14:paraId="2B74650B" w14:textId="77777777" w:rsidR="00184F1E" w:rsidRDefault="00184F1E" w:rsidP="0013463A">
            <w:pPr>
              <w:pStyle w:val="ListParagraph"/>
              <w:numPr>
                <w:ilvl w:val="0"/>
                <w:numId w:val="5"/>
              </w:numPr>
            </w:pPr>
            <w:r>
              <w:t xml:space="preserve">Monitors operational indicators, </w:t>
            </w:r>
            <w:proofErr w:type="gramStart"/>
            <w:r>
              <w:t>triggers</w:t>
            </w:r>
            <w:proofErr w:type="gramEnd"/>
            <w:r>
              <w:t xml:space="preserve"> and performance trends</w:t>
            </w:r>
            <w:r w:rsidR="3850184C">
              <w:t xml:space="preserve"> to support safe staffing</w:t>
            </w:r>
            <w:r>
              <w:t>.</w:t>
            </w:r>
          </w:p>
          <w:p w14:paraId="2B552346" w14:textId="77777777" w:rsidR="00184F1E" w:rsidRDefault="00184F1E" w:rsidP="0013463A">
            <w:pPr>
              <w:pStyle w:val="ListParagraph"/>
              <w:numPr>
                <w:ilvl w:val="0"/>
                <w:numId w:val="5"/>
              </w:numPr>
            </w:pPr>
            <w:r>
              <w:t>Contributes to risk management processes.</w:t>
            </w:r>
          </w:p>
          <w:p w14:paraId="7C370AD2" w14:textId="73744B4F" w:rsidR="00184F1E" w:rsidRDefault="00184F1E" w:rsidP="0013463A">
            <w:pPr>
              <w:pStyle w:val="ListParagraph"/>
              <w:numPr>
                <w:ilvl w:val="0"/>
                <w:numId w:val="5"/>
              </w:numPr>
            </w:pPr>
            <w:r>
              <w:t xml:space="preserve">Leads and supports </w:t>
            </w:r>
            <w:r w:rsidR="53F357A6">
              <w:t>quality</w:t>
            </w:r>
            <w:r>
              <w:t xml:space="preserve"> improvement initiatives.</w:t>
            </w:r>
          </w:p>
          <w:p w14:paraId="66A704AF" w14:textId="77777777" w:rsidR="00184F1E" w:rsidRDefault="00184F1E" w:rsidP="0013463A">
            <w:pPr>
              <w:pStyle w:val="ListParagraph"/>
              <w:numPr>
                <w:ilvl w:val="0"/>
                <w:numId w:val="5"/>
              </w:numPr>
            </w:pPr>
            <w:r>
              <w:t>Integrates clinical, workforce and financial data for decision</w:t>
            </w:r>
            <w:r w:rsidRPr="0056539E">
              <w:rPr>
                <w:rFonts w:ascii="Cambria Math" w:hAnsi="Cambria Math" w:cs="Cambria Math"/>
              </w:rPr>
              <w:t>‑</w:t>
            </w:r>
            <w:r>
              <w:t>making.</w:t>
            </w:r>
          </w:p>
          <w:p w14:paraId="306BAB15" w14:textId="77777777" w:rsidR="00184F1E" w:rsidRDefault="00184F1E" w:rsidP="0013463A">
            <w:pPr>
              <w:pStyle w:val="ListParagraph"/>
              <w:numPr>
                <w:ilvl w:val="0"/>
                <w:numId w:val="5"/>
              </w:numPr>
            </w:pPr>
            <w:r>
              <w:t>Leads daily operational meetings and directs the Operations Centre.</w:t>
            </w:r>
          </w:p>
          <w:p w14:paraId="2D8F019F" w14:textId="67E75C29" w:rsidR="00184F1E" w:rsidRDefault="00184F1E" w:rsidP="0013463A">
            <w:pPr>
              <w:pStyle w:val="ListParagraph"/>
              <w:numPr>
                <w:ilvl w:val="0"/>
                <w:numId w:val="5"/>
              </w:numPr>
            </w:pPr>
            <w:r>
              <w:t xml:space="preserve">Collaborates </w:t>
            </w:r>
            <w:proofErr w:type="gramStart"/>
            <w:r>
              <w:t xml:space="preserve">with </w:t>
            </w:r>
            <w:r w:rsidR="7AE68A72">
              <w:t xml:space="preserve"> </w:t>
            </w:r>
            <w:r w:rsidR="003F2A06">
              <w:t>Charge</w:t>
            </w:r>
            <w:proofErr w:type="gramEnd"/>
            <w:r w:rsidR="003F2A06">
              <w:t xml:space="preserve"> Nurse/</w:t>
            </w:r>
            <w:r w:rsidR="7AE68A72">
              <w:t xml:space="preserve">Clinical Managers </w:t>
            </w:r>
            <w:r>
              <w:t xml:space="preserve"> to maintain system flow</w:t>
            </w:r>
            <w:r w:rsidR="47AF8CA3">
              <w:t>, acuity and risk factors</w:t>
            </w:r>
            <w:r>
              <w:t>.</w:t>
            </w:r>
          </w:p>
          <w:p w14:paraId="623E050E" w14:textId="77777777" w:rsidR="00465F46" w:rsidRPr="00465F46" w:rsidRDefault="00465F46" w:rsidP="0056539E"/>
        </w:tc>
      </w:tr>
      <w:tr w:rsidR="00465F46" w:rsidRPr="004D6D7E" w14:paraId="1DFC04BB" w14:textId="77777777" w:rsidTr="1A2A4ECA">
        <w:trPr>
          <w:trHeight w:val="699"/>
        </w:trPr>
        <w:tc>
          <w:tcPr>
            <w:tcW w:w="2297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E9F5E1" w14:textId="77777777" w:rsidR="00465F46" w:rsidRDefault="00465F46" w:rsidP="0056539E">
            <w:r>
              <w:lastRenderedPageBreak/>
              <w:t>Organisation</w:t>
            </w:r>
            <w:r w:rsidR="007B1420">
              <w:t>-</w:t>
            </w:r>
            <w:proofErr w:type="gramStart"/>
            <w:r w:rsidR="0056539E">
              <w:t>W</w:t>
            </w:r>
            <w:r>
              <w:t xml:space="preserve">ide </w:t>
            </w:r>
            <w:r w:rsidR="007B1420">
              <w:t xml:space="preserve"> Change</w:t>
            </w:r>
            <w:proofErr w:type="gramEnd"/>
            <w:r w:rsidR="007B1420">
              <w:t xml:space="preserve"> Leadership</w:t>
            </w:r>
          </w:p>
        </w:tc>
        <w:tc>
          <w:tcPr>
            <w:tcW w:w="7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100B981" w14:textId="68C7B49B" w:rsidR="00184F1E" w:rsidRDefault="003F2A06" w:rsidP="003F2A06">
            <w:pPr>
              <w:pStyle w:val="ListParagraph"/>
              <w:numPr>
                <w:ilvl w:val="0"/>
                <w:numId w:val="12"/>
              </w:numPr>
            </w:pPr>
            <w:r>
              <w:t>F</w:t>
            </w:r>
            <w:r w:rsidR="00184F1E">
              <w:t>osters a team environment aligned with organisational priorities.</w:t>
            </w:r>
          </w:p>
          <w:p w14:paraId="43D96DAB" w14:textId="77777777" w:rsidR="00184F1E" w:rsidRDefault="00184F1E" w:rsidP="0013463A">
            <w:pPr>
              <w:pStyle w:val="ListParagraph"/>
              <w:numPr>
                <w:ilvl w:val="0"/>
                <w:numId w:val="6"/>
              </w:numPr>
            </w:pPr>
            <w:r>
              <w:t xml:space="preserve">Participates in </w:t>
            </w:r>
            <w:proofErr w:type="spellStart"/>
            <w:r>
              <w:t>organisation</w:t>
            </w:r>
            <w:proofErr w:type="spellEnd"/>
            <w:r w:rsidRPr="0056539E">
              <w:rPr>
                <w:rFonts w:ascii="Cambria Math" w:hAnsi="Cambria Math" w:cs="Cambria Math"/>
              </w:rPr>
              <w:t>‑</w:t>
            </w:r>
            <w:r>
              <w:t xml:space="preserve">wide change </w:t>
            </w:r>
            <w:proofErr w:type="spellStart"/>
            <w:r>
              <w:t>programmes</w:t>
            </w:r>
            <w:proofErr w:type="spellEnd"/>
            <w:r>
              <w:t>.</w:t>
            </w:r>
          </w:p>
          <w:p w14:paraId="075110DE" w14:textId="77777777" w:rsidR="00184F1E" w:rsidRDefault="00184F1E" w:rsidP="0013463A">
            <w:pPr>
              <w:pStyle w:val="ListParagraph"/>
              <w:numPr>
                <w:ilvl w:val="0"/>
                <w:numId w:val="6"/>
              </w:numPr>
            </w:pPr>
            <w:r>
              <w:t>Leads short</w:t>
            </w:r>
            <w:r w:rsidRPr="0056539E">
              <w:rPr>
                <w:rFonts w:ascii="Cambria Math" w:hAnsi="Cambria Math" w:cs="Cambria Math"/>
              </w:rPr>
              <w:t>‑</w:t>
            </w:r>
            <w:r>
              <w:t>term process improvements.</w:t>
            </w:r>
          </w:p>
          <w:p w14:paraId="4C00BCA9" w14:textId="77777777" w:rsidR="00184F1E" w:rsidRDefault="00184F1E" w:rsidP="0013463A">
            <w:pPr>
              <w:pStyle w:val="ListParagraph"/>
              <w:numPr>
                <w:ilvl w:val="0"/>
                <w:numId w:val="6"/>
              </w:numPr>
            </w:pPr>
            <w:r>
              <w:t>Strengthens interdisciplinary engagement and governance.</w:t>
            </w:r>
          </w:p>
          <w:p w14:paraId="53527915" w14:textId="77777777" w:rsidR="00465F46" w:rsidRPr="00465F46" w:rsidRDefault="00465F46" w:rsidP="0056539E"/>
        </w:tc>
      </w:tr>
      <w:tr w:rsidR="00465F46" w:rsidRPr="004D6D7E" w14:paraId="63C4466F" w14:textId="77777777" w:rsidTr="1A2A4ECA">
        <w:trPr>
          <w:trHeight w:val="699"/>
        </w:trPr>
        <w:tc>
          <w:tcPr>
            <w:tcW w:w="2297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4E3533" w14:textId="77777777" w:rsidR="00465F46" w:rsidRDefault="00465F46" w:rsidP="0056539E">
            <w:r>
              <w:t xml:space="preserve">Resource </w:t>
            </w:r>
            <w:r w:rsidR="00411C11">
              <w:t>utilization</w:t>
            </w:r>
          </w:p>
        </w:tc>
        <w:tc>
          <w:tcPr>
            <w:tcW w:w="7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B5BD95E" w14:textId="77777777" w:rsidR="00184F1E" w:rsidRDefault="00184F1E" w:rsidP="0013463A">
            <w:pPr>
              <w:pStyle w:val="ListParagraph"/>
              <w:numPr>
                <w:ilvl w:val="0"/>
                <w:numId w:val="7"/>
              </w:numPr>
            </w:pPr>
            <w:r>
              <w:t>Develops and evaluates systems for effective resource utilisation.</w:t>
            </w:r>
          </w:p>
          <w:p w14:paraId="23B9BBBE" w14:textId="77777777" w:rsidR="00184F1E" w:rsidRDefault="00184F1E" w:rsidP="0013463A">
            <w:pPr>
              <w:pStyle w:val="ListParagraph"/>
              <w:numPr>
                <w:ilvl w:val="0"/>
                <w:numId w:val="7"/>
              </w:numPr>
            </w:pPr>
            <w:r>
              <w:t>Applies evidence and quality improvement methods.</w:t>
            </w:r>
          </w:p>
          <w:p w14:paraId="27641ECC" w14:textId="77777777" w:rsidR="00184F1E" w:rsidRDefault="00184F1E" w:rsidP="0013463A">
            <w:pPr>
              <w:pStyle w:val="ListParagraph"/>
              <w:numPr>
                <w:ilvl w:val="0"/>
                <w:numId w:val="7"/>
              </w:numPr>
            </w:pPr>
            <w:r>
              <w:t>Sets priorities for staff allocation.</w:t>
            </w:r>
          </w:p>
          <w:p w14:paraId="46FE497B" w14:textId="77777777" w:rsidR="00184F1E" w:rsidRDefault="00184F1E" w:rsidP="0013463A">
            <w:pPr>
              <w:pStyle w:val="ListParagraph"/>
              <w:numPr>
                <w:ilvl w:val="0"/>
                <w:numId w:val="7"/>
              </w:numPr>
            </w:pPr>
            <w:r>
              <w:t>Initiates required information</w:t>
            </w:r>
            <w:r w:rsidRPr="00973851">
              <w:rPr>
                <w:rFonts w:ascii="Cambria Math" w:hAnsi="Cambria Math" w:cs="Cambria Math"/>
              </w:rPr>
              <w:t>‑</w:t>
            </w:r>
            <w:r>
              <w:t>system adjustments.</w:t>
            </w:r>
          </w:p>
          <w:p w14:paraId="2455D791" w14:textId="77777777" w:rsidR="00184F1E" w:rsidRDefault="00184F1E" w:rsidP="0013463A">
            <w:pPr>
              <w:pStyle w:val="ListParagraph"/>
              <w:numPr>
                <w:ilvl w:val="0"/>
                <w:numId w:val="7"/>
              </w:numPr>
            </w:pPr>
            <w:r>
              <w:t>Contributes to nursing governance across the campus.</w:t>
            </w:r>
          </w:p>
          <w:p w14:paraId="0C3B8E06" w14:textId="77777777" w:rsidR="00465F46" w:rsidRPr="00465F46" w:rsidRDefault="00465F46" w:rsidP="0056539E"/>
        </w:tc>
      </w:tr>
      <w:tr w:rsidR="008C0356" w:rsidRPr="00575EA6" w14:paraId="0B85C912" w14:textId="77777777" w:rsidTr="1A2A4ECA">
        <w:trPr>
          <w:trHeight w:val="2258"/>
        </w:trPr>
        <w:tc>
          <w:tcPr>
            <w:tcW w:w="215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CEEA62" w14:textId="77777777" w:rsidR="008C0356" w:rsidRPr="00973851" w:rsidRDefault="00411C11" w:rsidP="0056539E">
            <w:pPr>
              <w:rPr>
                <w:rFonts w:asciiTheme="minorHAnsi" w:hAnsiTheme="minorHAnsi" w:cstheme="minorHAnsi"/>
              </w:rPr>
            </w:pPr>
            <w:bookmarkStart w:id="1" w:name="_Hlk192601733"/>
            <w:r w:rsidRPr="00973851">
              <w:rPr>
                <w:rFonts w:asciiTheme="minorHAnsi" w:hAnsiTheme="minorHAnsi" w:cstheme="minorHAnsi"/>
              </w:rPr>
              <w:t>Emergency Readiness, Health and Safety</w:t>
            </w:r>
            <w:r w:rsidR="008C0356" w:rsidRPr="0097385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4C02BE8B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b/>
                <w:bCs/>
                <w:lang w:val="en-NZ" w:eastAsia="en-NZ"/>
              </w:rPr>
              <w:t>Purpose:</w:t>
            </w: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 xml:space="preserve"> Maintain a safe, secure environment and ensure effective response to emergencies in line with Health NZ | Waitaha Canterbury policies.</w:t>
            </w:r>
          </w:p>
          <w:p w14:paraId="2054A799" w14:textId="77777777" w:rsidR="00973851" w:rsidRPr="00973851" w:rsidRDefault="0097385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</w:p>
          <w:p w14:paraId="6AAE6EE6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b/>
                <w:bCs/>
                <w:lang w:val="en-NZ" w:eastAsia="en-NZ"/>
              </w:rPr>
              <w:t>Responsibilities</w:t>
            </w:r>
          </w:p>
          <w:p w14:paraId="40E150FC" w14:textId="77777777" w:rsidR="0056539E" w:rsidRPr="00973851" w:rsidRDefault="0056539E" w:rsidP="0013463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Initiates emergency actions and coordinates nursing responses.</w:t>
            </w:r>
          </w:p>
          <w:p w14:paraId="1EECAED0" w14:textId="77777777" w:rsidR="0056539E" w:rsidRPr="00973851" w:rsidRDefault="0056539E" w:rsidP="0013463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Maintains required emergency certifications.</w:t>
            </w:r>
          </w:p>
          <w:p w14:paraId="78FB1E2D" w14:textId="77777777" w:rsidR="0056539E" w:rsidRPr="00973851" w:rsidRDefault="0056539E" w:rsidP="0013463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Reports and acts on incidents.</w:t>
            </w:r>
          </w:p>
          <w:p w14:paraId="54C1A287" w14:textId="77777777" w:rsidR="00973851" w:rsidRDefault="0056539E" w:rsidP="0013463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Supports equipment safety and reporting.</w:t>
            </w:r>
          </w:p>
          <w:p w14:paraId="2384EA63" w14:textId="77777777" w:rsidR="0056539E" w:rsidRDefault="0056539E" w:rsidP="0013463A">
            <w:pPr>
              <w:pStyle w:val="ListParagraph"/>
              <w:numPr>
                <w:ilvl w:val="1"/>
                <w:numId w:val="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Manager responsibilities include hazard management, staff training, audits, incident investigation, and promoting continuous improvement.</w:t>
            </w:r>
          </w:p>
          <w:p w14:paraId="3D20AD89" w14:textId="77777777" w:rsidR="00973851" w:rsidRPr="00973851" w:rsidRDefault="00973851" w:rsidP="00973851">
            <w:pPr>
              <w:pStyle w:val="ListParagraph"/>
              <w:ind w:left="1440" w:firstLine="0"/>
              <w:rPr>
                <w:rFonts w:asciiTheme="minorHAnsi" w:hAnsiTheme="minorHAnsi" w:cstheme="minorHAnsi"/>
              </w:rPr>
            </w:pPr>
          </w:p>
          <w:p w14:paraId="29AE24E2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b/>
                <w:bCs/>
                <w:lang w:val="en-NZ" w:eastAsia="en-NZ"/>
              </w:rPr>
              <w:t>Manager Accountabilities</w:t>
            </w:r>
          </w:p>
          <w:p w14:paraId="77839F28" w14:textId="77777777" w:rsidR="007301C3" w:rsidRDefault="0056539E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Manager responsibilities include hazard management, staff training, audits, incident investigation, and promoting continuous improvement.</w:t>
            </w:r>
          </w:p>
          <w:p w14:paraId="18C9A9DA" w14:textId="7F0B81E8" w:rsidR="003F2A06" w:rsidRPr="00973851" w:rsidRDefault="003F2A06" w:rsidP="0056539E">
            <w:pPr>
              <w:rPr>
                <w:rFonts w:asciiTheme="minorHAnsi" w:hAnsiTheme="minorHAnsi" w:cstheme="minorHAnsi"/>
              </w:rPr>
            </w:pPr>
          </w:p>
        </w:tc>
      </w:tr>
      <w:bookmarkEnd w:id="1"/>
      <w:tr w:rsidR="00920BA5" w:rsidRPr="00575EA6" w14:paraId="7E6AD5AF" w14:textId="77777777" w:rsidTr="1A2A4ECA">
        <w:trPr>
          <w:trHeight w:val="2258"/>
        </w:trPr>
        <w:tc>
          <w:tcPr>
            <w:tcW w:w="215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7F65D9" w14:textId="77777777" w:rsidR="00920BA5" w:rsidRPr="00973851" w:rsidRDefault="00411C11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Cultural Safety, Te Tiriti o Waitangi and Cultural Safety</w:t>
            </w:r>
          </w:p>
        </w:tc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0072F30D" w14:textId="77777777" w:rsidR="00411C1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b/>
                <w:bCs/>
                <w:lang w:val="en-NZ" w:eastAsia="en-NZ"/>
              </w:rPr>
              <w:t>Purpose:</w:t>
            </w: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 xml:space="preserve"> Deliver care that is culturally safe, equitable, and aligned with Te Tiriti o Waitangi.</w:t>
            </w:r>
          </w:p>
          <w:p w14:paraId="54E2FC8F" w14:textId="77777777" w:rsidR="00973851" w:rsidRPr="00973851" w:rsidRDefault="0097385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</w:p>
          <w:p w14:paraId="22FFD4B1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b/>
                <w:bCs/>
                <w:lang w:val="en-NZ" w:eastAsia="en-NZ"/>
              </w:rPr>
              <w:t>Responsibilities</w:t>
            </w:r>
          </w:p>
          <w:p w14:paraId="4B8F47F7" w14:textId="77777777" w:rsidR="0056539E" w:rsidRPr="00973851" w:rsidRDefault="0056539E" w:rsidP="0013463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Demonstrates understanding and application of Te Tiriti o Waitangi.</w:t>
            </w:r>
          </w:p>
          <w:p w14:paraId="52C8BB60" w14:textId="77777777" w:rsidR="0056539E" w:rsidRPr="00973851" w:rsidRDefault="0056539E" w:rsidP="0013463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Promotes equitable, culturally safe and tikanga</w:t>
            </w:r>
            <w:r w:rsidRPr="00973851">
              <w:rPr>
                <w:rFonts w:ascii="Cambria Math" w:hAnsi="Cambria Math" w:cs="Cambria Math"/>
              </w:rPr>
              <w:t>‑</w:t>
            </w:r>
            <w:r w:rsidRPr="00973851">
              <w:rPr>
                <w:rFonts w:asciiTheme="minorHAnsi" w:hAnsiTheme="minorHAnsi" w:cstheme="minorHAnsi"/>
              </w:rPr>
              <w:t>based care for Māori.</w:t>
            </w:r>
          </w:p>
          <w:p w14:paraId="79C93A3F" w14:textId="77777777" w:rsidR="0056539E" w:rsidRPr="00973851" w:rsidRDefault="0056539E" w:rsidP="0013463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Supports whānau</w:t>
            </w:r>
            <w:r w:rsidRPr="00973851">
              <w:rPr>
                <w:rFonts w:ascii="Cambria Math" w:hAnsi="Cambria Math" w:cs="Cambria Math"/>
              </w:rPr>
              <w:t>‑</w:t>
            </w:r>
            <w:r w:rsidRPr="00973851">
              <w:rPr>
                <w:rFonts w:asciiTheme="minorHAnsi" w:hAnsiTheme="minorHAnsi" w:cstheme="minorHAnsi"/>
              </w:rPr>
              <w:t>centred approaches.</w:t>
            </w:r>
          </w:p>
          <w:p w14:paraId="37CC8410" w14:textId="77777777" w:rsidR="0056539E" w:rsidRPr="00973851" w:rsidRDefault="0056539E" w:rsidP="0013463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Provides inclusive, culturally safe care for all tangata whaiora.</w:t>
            </w:r>
          </w:p>
          <w:p w14:paraId="3BF33959" w14:textId="77777777" w:rsidR="00061FB3" w:rsidRPr="00973851" w:rsidRDefault="0056539E" w:rsidP="0013463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Works to enhance equity of access, experience and outcomes.</w:t>
            </w:r>
          </w:p>
          <w:p w14:paraId="7CEBD582" w14:textId="77777777" w:rsidR="0056539E" w:rsidRPr="00973851" w:rsidRDefault="0056539E" w:rsidP="0056539E">
            <w:pPr>
              <w:rPr>
                <w:rFonts w:asciiTheme="minorHAnsi" w:hAnsiTheme="minorHAnsi" w:cstheme="minorHAnsi"/>
              </w:rPr>
            </w:pPr>
          </w:p>
        </w:tc>
      </w:tr>
      <w:tr w:rsidR="00061FB3" w:rsidRPr="00575EA6" w14:paraId="1D2F85AD" w14:textId="77777777" w:rsidTr="1A2A4ECA">
        <w:trPr>
          <w:trHeight w:val="983"/>
        </w:trPr>
        <w:tc>
          <w:tcPr>
            <w:tcW w:w="215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948558" w14:textId="77777777" w:rsidR="00061FB3" w:rsidRPr="00973851" w:rsidRDefault="00061FB3" w:rsidP="0056539E">
            <w:pPr>
              <w:rPr>
                <w:rFonts w:asciiTheme="minorHAnsi" w:hAnsiTheme="minorHAnsi" w:cstheme="minorHAnsi"/>
                <w:spacing w:val="-2"/>
              </w:rPr>
            </w:pPr>
            <w:r w:rsidRPr="00973851">
              <w:rPr>
                <w:rFonts w:asciiTheme="minorHAnsi" w:hAnsiTheme="minorHAnsi" w:cstheme="minorHAnsi"/>
                <w:spacing w:val="-2"/>
              </w:rPr>
              <w:t xml:space="preserve">Professional </w:t>
            </w:r>
            <w:r w:rsidR="00411C11" w:rsidRPr="00973851">
              <w:rPr>
                <w:rFonts w:asciiTheme="minorHAnsi" w:hAnsiTheme="minorHAnsi" w:cstheme="minorHAnsi"/>
                <w:spacing w:val="-2"/>
              </w:rPr>
              <w:t>P</w:t>
            </w:r>
            <w:r w:rsidRPr="00973851">
              <w:rPr>
                <w:rFonts w:asciiTheme="minorHAnsi" w:hAnsiTheme="minorHAnsi" w:cstheme="minorHAnsi"/>
                <w:spacing w:val="-2"/>
              </w:rPr>
              <w:t>ractice</w:t>
            </w:r>
            <w:r w:rsidR="00411C11" w:rsidRPr="00973851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53CC7B07" w14:textId="77777777" w:rsidR="00411C11" w:rsidRDefault="00411C11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Style w:val="Strong"/>
                <w:rFonts w:asciiTheme="minorHAnsi" w:hAnsiTheme="minorHAnsi" w:cstheme="minorHAnsi"/>
              </w:rPr>
              <w:t>Purpose:</w:t>
            </w:r>
            <w:r w:rsidRPr="00973851">
              <w:rPr>
                <w:rFonts w:asciiTheme="minorHAnsi" w:hAnsiTheme="minorHAnsi" w:cstheme="minorHAnsi"/>
              </w:rPr>
              <w:t xml:space="preserve"> Maintain contemporary leadership and management practice to enhance daily operations and team capability.</w:t>
            </w:r>
          </w:p>
          <w:p w14:paraId="676410B2" w14:textId="77777777" w:rsidR="003F2A06" w:rsidRPr="00973851" w:rsidRDefault="003F2A06" w:rsidP="0056539E">
            <w:pPr>
              <w:rPr>
                <w:rFonts w:asciiTheme="minorHAnsi" w:hAnsiTheme="minorHAnsi" w:cstheme="minorHAnsi"/>
              </w:rPr>
            </w:pPr>
          </w:p>
          <w:p w14:paraId="66989142" w14:textId="77777777" w:rsidR="00411C11" w:rsidRPr="00973851" w:rsidRDefault="00411C11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Style w:val="Strong"/>
                <w:rFonts w:asciiTheme="minorHAnsi" w:hAnsiTheme="minorHAnsi" w:cstheme="minorHAnsi"/>
              </w:rPr>
              <w:t>Responsibilities</w:t>
            </w:r>
          </w:p>
          <w:p w14:paraId="06098964" w14:textId="77777777" w:rsidR="0056539E" w:rsidRPr="00973851" w:rsidRDefault="0056539E" w:rsidP="0013463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Maintains contemporary leadership and management knowledge.</w:t>
            </w:r>
          </w:p>
          <w:p w14:paraId="36E870D5" w14:textId="77777777" w:rsidR="0056539E" w:rsidRPr="00973851" w:rsidRDefault="0056539E" w:rsidP="0013463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Engages in ongoing professional development.</w:t>
            </w:r>
          </w:p>
          <w:p w14:paraId="0E3D7B5E" w14:textId="77777777" w:rsidR="0056539E" w:rsidRPr="00973851" w:rsidRDefault="0056539E" w:rsidP="0013463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lastRenderedPageBreak/>
              <w:t>Undertakes regular self</w:t>
            </w:r>
            <w:r w:rsidRPr="00973851">
              <w:rPr>
                <w:rFonts w:ascii="Cambria Math" w:hAnsi="Cambria Math" w:cs="Cambria Math"/>
              </w:rPr>
              <w:t>‑</w:t>
            </w:r>
            <w:r w:rsidRPr="00973851">
              <w:rPr>
                <w:rFonts w:asciiTheme="minorHAnsi" w:hAnsiTheme="minorHAnsi" w:cstheme="minorHAnsi"/>
              </w:rPr>
              <w:t>appraisal and development planning.</w:t>
            </w:r>
          </w:p>
          <w:p w14:paraId="67B26C69" w14:textId="77777777" w:rsidR="0056539E" w:rsidRPr="00973851" w:rsidRDefault="0056539E" w:rsidP="0013463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Supports research utilisation and scholarly activity.</w:t>
            </w:r>
          </w:p>
          <w:p w14:paraId="6C8DF651" w14:textId="5804DFD4" w:rsidR="00061FB3" w:rsidRPr="003F2A06" w:rsidRDefault="0056539E" w:rsidP="0056539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Represents after</w:t>
            </w:r>
            <w:r w:rsidRPr="00973851">
              <w:rPr>
                <w:rFonts w:ascii="Cambria Math" w:hAnsi="Cambria Math" w:cs="Cambria Math"/>
              </w:rPr>
              <w:t>‑</w:t>
            </w:r>
            <w:r w:rsidRPr="00973851">
              <w:rPr>
                <w:rFonts w:asciiTheme="minorHAnsi" w:hAnsiTheme="minorHAnsi" w:cstheme="minorHAnsi"/>
              </w:rPr>
              <w:t xml:space="preserve">hours nursing perspectives locally, </w:t>
            </w:r>
            <w:proofErr w:type="gramStart"/>
            <w:r w:rsidRPr="00973851">
              <w:rPr>
                <w:rFonts w:asciiTheme="minorHAnsi" w:hAnsiTheme="minorHAnsi" w:cstheme="minorHAnsi"/>
              </w:rPr>
              <w:t>regionally</w:t>
            </w:r>
            <w:proofErr w:type="gramEnd"/>
            <w:r w:rsidRPr="00973851">
              <w:rPr>
                <w:rFonts w:asciiTheme="minorHAnsi" w:hAnsiTheme="minorHAnsi" w:cstheme="minorHAnsi"/>
              </w:rPr>
              <w:t xml:space="preserve"> and nationally.</w:t>
            </w:r>
          </w:p>
        </w:tc>
      </w:tr>
      <w:tr w:rsidR="00411C11" w:rsidRPr="00575EA6" w14:paraId="638D200D" w14:textId="77777777" w:rsidTr="1A2A4ECA">
        <w:trPr>
          <w:trHeight w:val="983"/>
        </w:trPr>
        <w:tc>
          <w:tcPr>
            <w:tcW w:w="215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280840" w14:textId="77777777" w:rsidR="00411C11" w:rsidRPr="00973851" w:rsidRDefault="00411C11" w:rsidP="0056539E">
            <w:pPr>
              <w:rPr>
                <w:rFonts w:asciiTheme="minorHAnsi" w:hAnsiTheme="minorHAnsi" w:cstheme="minorHAnsi"/>
                <w:spacing w:val="-2"/>
              </w:rPr>
            </w:pPr>
            <w:r w:rsidRPr="00973851">
              <w:rPr>
                <w:rFonts w:asciiTheme="minorHAnsi" w:hAnsiTheme="minorHAnsi" w:cstheme="minorHAnsi"/>
                <w:spacing w:val="-2"/>
              </w:rPr>
              <w:lastRenderedPageBreak/>
              <w:t>Research Evidence and Improvement</w:t>
            </w:r>
          </w:p>
        </w:tc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71D1673F" w14:textId="77777777" w:rsidR="00411C1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b/>
                <w:bCs/>
                <w:lang w:val="en-NZ" w:eastAsia="en-NZ"/>
              </w:rPr>
              <w:t>Purpose:</w:t>
            </w: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 xml:space="preserve"> Enable research and the use of evidence to improve tangata whaiora flow and organisational safety.</w:t>
            </w:r>
          </w:p>
          <w:p w14:paraId="32AE594E" w14:textId="77777777" w:rsidR="003F2A06" w:rsidRPr="00973851" w:rsidRDefault="003F2A06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</w:p>
          <w:p w14:paraId="0972E097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b/>
                <w:bCs/>
                <w:lang w:val="en-NZ" w:eastAsia="en-NZ"/>
              </w:rPr>
              <w:t>Responsibilities</w:t>
            </w:r>
          </w:p>
          <w:p w14:paraId="171EA858" w14:textId="77777777" w:rsidR="0056539E" w:rsidRPr="00973851" w:rsidRDefault="0056539E" w:rsidP="0013463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Identifies opportunities for research and quality improvement.</w:t>
            </w:r>
          </w:p>
          <w:p w14:paraId="0E2D073F" w14:textId="77777777" w:rsidR="0056539E" w:rsidRPr="00973851" w:rsidRDefault="0056539E" w:rsidP="0013463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Facilitates integration of evidence into operations.</w:t>
            </w:r>
          </w:p>
          <w:p w14:paraId="707BB61A" w14:textId="77777777" w:rsidR="00411C11" w:rsidRPr="00973851" w:rsidRDefault="0056539E" w:rsidP="0013463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Advocates for resources that support enquiry and evaluation.</w:t>
            </w:r>
          </w:p>
          <w:p w14:paraId="550608D1" w14:textId="77777777" w:rsidR="0056539E" w:rsidRPr="00973851" w:rsidRDefault="0056539E" w:rsidP="0056539E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61FB3" w:rsidRPr="00575EA6" w14:paraId="3401A8C2" w14:textId="77777777" w:rsidTr="1A2A4ECA">
        <w:trPr>
          <w:trHeight w:val="983"/>
        </w:trPr>
        <w:tc>
          <w:tcPr>
            <w:tcW w:w="215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1382AB" w14:textId="77777777" w:rsidR="00061FB3" w:rsidRPr="00973851" w:rsidRDefault="00061FB3" w:rsidP="0056539E">
            <w:pPr>
              <w:rPr>
                <w:rFonts w:asciiTheme="minorHAnsi" w:hAnsiTheme="minorHAnsi" w:cstheme="minorHAnsi"/>
                <w:spacing w:val="-2"/>
              </w:rPr>
            </w:pPr>
            <w:r w:rsidRPr="00973851">
              <w:rPr>
                <w:rFonts w:asciiTheme="minorHAnsi" w:hAnsiTheme="minorHAnsi" w:cstheme="minorHAnsi"/>
                <w:spacing w:val="-2"/>
              </w:rPr>
              <w:t>Qualifications and experience</w:t>
            </w:r>
          </w:p>
          <w:p w14:paraId="5F889BD5" w14:textId="77777777" w:rsidR="00061FB3" w:rsidRPr="00973851" w:rsidRDefault="00061FB3" w:rsidP="0056539E">
            <w:pPr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6CF1FAF" w14:textId="77777777" w:rsidR="0056539E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You will:</w:t>
            </w:r>
          </w:p>
          <w:p w14:paraId="22FF463B" w14:textId="77777777" w:rsidR="0056539E" w:rsidRPr="00973851" w:rsidRDefault="0056539E" w:rsidP="0013463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 xml:space="preserve">Be a Registered Nurse with current Annual </w:t>
            </w:r>
            <w:proofErr w:type="spellStart"/>
            <w:r w:rsidRPr="00973851">
              <w:rPr>
                <w:rFonts w:asciiTheme="minorHAnsi" w:hAnsiTheme="minorHAnsi" w:cstheme="minorHAnsi"/>
              </w:rPr>
              <w:t>Practising</w:t>
            </w:r>
            <w:proofErr w:type="spellEnd"/>
            <w:r w:rsidRPr="00973851">
              <w:rPr>
                <w:rFonts w:asciiTheme="minorHAnsi" w:hAnsiTheme="minorHAnsi" w:cstheme="minorHAnsi"/>
              </w:rPr>
              <w:t xml:space="preserve"> Certificate.</w:t>
            </w:r>
          </w:p>
          <w:p w14:paraId="36360E1D" w14:textId="1CF763C3" w:rsidR="0056539E" w:rsidRPr="00973851" w:rsidRDefault="0056539E" w:rsidP="0013463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 w:rsidRPr="1A2A4ECA">
              <w:rPr>
                <w:rFonts w:asciiTheme="minorHAnsi" w:hAnsiTheme="minorHAnsi" w:cstheme="minorBidi"/>
              </w:rPr>
              <w:t>Postgraduate qualification (minimum PG</w:t>
            </w:r>
            <w:r w:rsidR="003F2A06">
              <w:rPr>
                <w:rFonts w:asciiTheme="minorHAnsi" w:hAnsiTheme="minorHAnsi" w:cstheme="minorBidi"/>
              </w:rPr>
              <w:t xml:space="preserve"> Diploma</w:t>
            </w:r>
            <w:r w:rsidRPr="1A2A4ECA">
              <w:rPr>
                <w:rFonts w:asciiTheme="minorHAnsi" w:hAnsiTheme="minorHAnsi" w:cstheme="minorBidi"/>
              </w:rPr>
              <w:t>).</w:t>
            </w:r>
          </w:p>
          <w:p w14:paraId="52C84FB7" w14:textId="77777777" w:rsidR="0056539E" w:rsidRPr="00973851" w:rsidRDefault="0056539E" w:rsidP="0013463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Senior leadership experience in acute mental health.</w:t>
            </w:r>
          </w:p>
          <w:p w14:paraId="69A70FDF" w14:textId="77777777" w:rsidR="0056539E" w:rsidRPr="00973851" w:rsidRDefault="0056539E" w:rsidP="0013463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Ability to lead standards, quality initiatives and research.</w:t>
            </w:r>
          </w:p>
          <w:p w14:paraId="4918C989" w14:textId="77777777" w:rsidR="0056539E" w:rsidRPr="00973851" w:rsidRDefault="0056539E" w:rsidP="0013463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Effective communication and change leadership.</w:t>
            </w:r>
          </w:p>
          <w:p w14:paraId="56F85958" w14:textId="77777777" w:rsidR="0056539E" w:rsidRPr="00973851" w:rsidRDefault="0056539E" w:rsidP="0013463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</w:rPr>
            </w:pPr>
            <w:r w:rsidRPr="1A2A4ECA">
              <w:rPr>
                <w:rFonts w:asciiTheme="minorHAnsi" w:hAnsiTheme="minorHAnsi" w:cstheme="minorBidi"/>
              </w:rPr>
              <w:t>Understanding and application of Te Tiriti o Waitangi</w:t>
            </w:r>
            <w:r w:rsidR="69DE9DC7" w:rsidRPr="1A2A4ECA">
              <w:rPr>
                <w:rFonts w:asciiTheme="minorHAnsi" w:hAnsiTheme="minorHAnsi" w:cstheme="minorBidi"/>
              </w:rPr>
              <w:t xml:space="preserve"> principles</w:t>
            </w:r>
            <w:r w:rsidRPr="1A2A4ECA">
              <w:rPr>
                <w:rFonts w:asciiTheme="minorHAnsi" w:hAnsiTheme="minorHAnsi" w:cstheme="minorBidi"/>
              </w:rPr>
              <w:t>.</w:t>
            </w:r>
          </w:p>
          <w:p w14:paraId="1088773D" w14:textId="77777777" w:rsidR="0056539E" w:rsidRPr="00973851" w:rsidRDefault="0056539E" w:rsidP="0013463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Supportive of professional development and advanced roles.</w:t>
            </w:r>
          </w:p>
          <w:p w14:paraId="5E5312B6" w14:textId="77777777" w:rsidR="00061FB3" w:rsidRPr="00973851" w:rsidRDefault="00061FB3" w:rsidP="0056539E">
            <w:pPr>
              <w:rPr>
                <w:rFonts w:asciiTheme="minorHAnsi" w:hAnsiTheme="minorHAnsi" w:cstheme="minorHAnsi"/>
              </w:rPr>
            </w:pPr>
          </w:p>
        </w:tc>
      </w:tr>
    </w:tbl>
    <w:p w14:paraId="3EB3EFBF" w14:textId="77777777" w:rsidR="00920BA5" w:rsidRPr="00575EA6" w:rsidRDefault="00A30A92" w:rsidP="0056539E">
      <w:pPr>
        <w:rPr>
          <w:sz w:val="15"/>
        </w:rPr>
      </w:pPr>
      <w:r w:rsidRPr="00575EA6">
        <w:rPr>
          <w:sz w:val="20"/>
        </w:rPr>
        <w:tab/>
      </w:r>
    </w:p>
    <w:p w14:paraId="180140FD" w14:textId="77777777" w:rsidR="00D230B0" w:rsidRPr="00973851" w:rsidRDefault="00A30A92" w:rsidP="0056539E">
      <w:pPr>
        <w:rPr>
          <w:rFonts w:asciiTheme="minorHAnsi" w:hAnsiTheme="minorHAnsi" w:cstheme="minorHAnsi"/>
          <w:b/>
          <w:bCs/>
        </w:rPr>
      </w:pPr>
      <w:r w:rsidRPr="00973851">
        <w:rPr>
          <w:rFonts w:asciiTheme="minorHAnsi" w:hAnsiTheme="minorHAnsi" w:cstheme="minorHAnsi"/>
          <w:b/>
          <w:bCs/>
          <w:spacing w:val="-2"/>
        </w:rPr>
        <w:t xml:space="preserve">Key </w:t>
      </w:r>
      <w:r w:rsidR="00D230B0" w:rsidRPr="00973851">
        <w:rPr>
          <w:rFonts w:asciiTheme="minorHAnsi" w:hAnsiTheme="minorHAnsi" w:cstheme="minorHAnsi"/>
          <w:b/>
          <w:bCs/>
          <w:spacing w:val="-2"/>
        </w:rPr>
        <w:t>Relationships</w:t>
      </w:r>
    </w:p>
    <w:tbl>
      <w:tblPr>
        <w:tblW w:w="0" w:type="auto"/>
        <w:tblInd w:w="221" w:type="dxa"/>
        <w:tblBorders>
          <w:top w:val="single" w:sz="4" w:space="0" w:color="F0EDEB"/>
          <w:left w:val="single" w:sz="4" w:space="0" w:color="F0EDEB"/>
          <w:bottom w:val="single" w:sz="4" w:space="0" w:color="F0EDEB"/>
          <w:right w:val="single" w:sz="4" w:space="0" w:color="F0EDEB"/>
          <w:insideH w:val="single" w:sz="4" w:space="0" w:color="F0EDEB"/>
          <w:insideV w:val="single" w:sz="4" w:space="0" w:color="F0ED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8"/>
        <w:gridCol w:w="6334"/>
      </w:tblGrid>
      <w:tr w:rsidR="00D230B0" w:rsidRPr="00973851" w14:paraId="6ED80A51" w14:textId="77777777" w:rsidTr="00AB22B0">
        <w:trPr>
          <w:trHeight w:val="383"/>
        </w:trPr>
        <w:tc>
          <w:tcPr>
            <w:tcW w:w="3748" w:type="dxa"/>
            <w:tcBorders>
              <w:left w:val="nil"/>
            </w:tcBorders>
          </w:tcPr>
          <w:p w14:paraId="0326F225" w14:textId="77777777" w:rsidR="00D230B0" w:rsidRPr="00973851" w:rsidRDefault="00D230B0" w:rsidP="0056539E">
            <w:pPr>
              <w:rPr>
                <w:rFonts w:asciiTheme="minorHAnsi" w:hAnsiTheme="minorHAnsi" w:cstheme="minorHAnsi"/>
                <w:b/>
              </w:rPr>
            </w:pPr>
            <w:r w:rsidRPr="00973851">
              <w:rPr>
                <w:rFonts w:asciiTheme="minorHAnsi" w:hAnsiTheme="minorHAnsi" w:cstheme="minorHAnsi"/>
                <w:b/>
                <w:spacing w:val="-2"/>
              </w:rPr>
              <w:t>External</w:t>
            </w:r>
          </w:p>
        </w:tc>
        <w:tc>
          <w:tcPr>
            <w:tcW w:w="6334" w:type="dxa"/>
            <w:tcBorders>
              <w:right w:val="nil"/>
            </w:tcBorders>
          </w:tcPr>
          <w:p w14:paraId="08242CD1" w14:textId="77777777" w:rsidR="00D230B0" w:rsidRPr="00973851" w:rsidRDefault="00D230B0" w:rsidP="0056539E">
            <w:pPr>
              <w:rPr>
                <w:rFonts w:asciiTheme="minorHAnsi" w:hAnsiTheme="minorHAnsi" w:cstheme="minorHAnsi"/>
                <w:b/>
              </w:rPr>
            </w:pPr>
            <w:r w:rsidRPr="00973851">
              <w:rPr>
                <w:rFonts w:asciiTheme="minorHAnsi" w:hAnsiTheme="minorHAnsi" w:cstheme="minorHAnsi"/>
                <w:b/>
                <w:spacing w:val="-2"/>
              </w:rPr>
              <w:t>Internal</w:t>
            </w:r>
          </w:p>
        </w:tc>
      </w:tr>
      <w:tr w:rsidR="00D230B0" w:rsidRPr="00973851" w14:paraId="08AD420B" w14:textId="77777777" w:rsidTr="00AB22B0">
        <w:trPr>
          <w:trHeight w:val="1747"/>
        </w:trPr>
        <w:tc>
          <w:tcPr>
            <w:tcW w:w="3748" w:type="dxa"/>
            <w:tcBorders>
              <w:left w:val="nil"/>
            </w:tcBorders>
          </w:tcPr>
          <w:p w14:paraId="7110C5B1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Other hospitals</w:t>
            </w:r>
          </w:p>
          <w:p w14:paraId="2B7D072C" w14:textId="77777777" w:rsidR="00891C47" w:rsidRPr="00973851" w:rsidRDefault="00891C47" w:rsidP="005653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34" w:type="dxa"/>
            <w:tcBorders>
              <w:right w:val="nil"/>
            </w:tcBorders>
          </w:tcPr>
          <w:p w14:paraId="7688DDCD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Director of Nursing</w:t>
            </w:r>
          </w:p>
          <w:p w14:paraId="7BB1F1DD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Chief Nurse</w:t>
            </w:r>
          </w:p>
          <w:p w14:paraId="749896CE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Nurse Manager – Safe Staffing; Operations Manager; General Manager</w:t>
            </w:r>
          </w:p>
          <w:p w14:paraId="1CDE4FDA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Service Managers and Nurse Director</w:t>
            </w:r>
          </w:p>
          <w:p w14:paraId="17AA3125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Nursing Directorate</w:t>
            </w:r>
          </w:p>
          <w:p w14:paraId="772C0ED6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Duty Managers; Clinical Team Coordinators</w:t>
            </w:r>
          </w:p>
          <w:p w14:paraId="704222FF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Pool and Rosters Office</w:t>
            </w:r>
          </w:p>
          <w:p w14:paraId="34458933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Charge Nurse/Clinical Managers, delegates &amp; Nursing teams</w:t>
            </w:r>
          </w:p>
          <w:p w14:paraId="6AAD270B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Nurse Consultants</w:t>
            </w:r>
          </w:p>
          <w:p w14:paraId="0FBFAFB5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Directorate Leadership Team</w:t>
            </w:r>
          </w:p>
          <w:p w14:paraId="47C47D02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Clinical Directors</w:t>
            </w:r>
          </w:p>
          <w:p w14:paraId="57FC8FCA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Allied Health Directorate</w:t>
            </w:r>
          </w:p>
          <w:p w14:paraId="0F251EF7" w14:textId="77777777" w:rsidR="00411C11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Enabling Services – Quality and Patient Safety; Workforce Development</w:t>
            </w:r>
          </w:p>
          <w:p w14:paraId="1E219065" w14:textId="77777777" w:rsidR="00D230B0" w:rsidRPr="00973851" w:rsidRDefault="00411C11" w:rsidP="0056539E">
            <w:pPr>
              <w:rPr>
                <w:rFonts w:asciiTheme="minorHAnsi" w:eastAsia="Times New Roman" w:hAnsiTheme="minorHAnsi" w:cstheme="minorHAnsi"/>
                <w:lang w:val="en-NZ" w:eastAsia="en-NZ"/>
              </w:rPr>
            </w:pPr>
            <w:r w:rsidRPr="00973851">
              <w:rPr>
                <w:rFonts w:asciiTheme="minorHAnsi" w:eastAsia="Times New Roman" w:hAnsiTheme="minorHAnsi" w:cstheme="minorHAnsi"/>
                <w:lang w:val="en-NZ" w:eastAsia="en-NZ"/>
              </w:rPr>
              <w:t>SMHS EmMHS and community teams</w:t>
            </w:r>
          </w:p>
        </w:tc>
      </w:tr>
    </w:tbl>
    <w:p w14:paraId="0A5C22F7" w14:textId="77777777" w:rsidR="00D230B0" w:rsidRPr="00575EA6" w:rsidRDefault="00D230B0" w:rsidP="0056539E">
      <w:pPr>
        <w:rPr>
          <w:b/>
        </w:rPr>
      </w:pPr>
      <w:r w:rsidRPr="00575EA6">
        <w:rPr>
          <w:b/>
        </w:rPr>
        <w:t>About</w:t>
      </w:r>
      <w:r w:rsidRPr="00575EA6">
        <w:rPr>
          <w:b/>
          <w:spacing w:val="-2"/>
        </w:rPr>
        <w:t xml:space="preserve"> </w:t>
      </w:r>
      <w:r w:rsidRPr="00575EA6">
        <w:rPr>
          <w:b/>
        </w:rPr>
        <w:t>you</w:t>
      </w:r>
      <w:r w:rsidRPr="00575EA6">
        <w:rPr>
          <w:b/>
          <w:spacing w:val="-2"/>
        </w:rPr>
        <w:t xml:space="preserve"> </w:t>
      </w:r>
      <w:r w:rsidRPr="00575EA6">
        <w:rPr>
          <w:b/>
        </w:rPr>
        <w:t xml:space="preserve">– </w:t>
      </w:r>
      <w:r w:rsidR="0056539E">
        <w:rPr>
          <w:b/>
        </w:rPr>
        <w:t>success profile</w:t>
      </w:r>
    </w:p>
    <w:p w14:paraId="0BB61DF3" w14:textId="77777777" w:rsidR="00D230B0" w:rsidRPr="00575EA6" w:rsidRDefault="00D230B0" w:rsidP="0056539E">
      <w:pPr>
        <w:rPr>
          <w:b/>
          <w:sz w:val="13"/>
        </w:rPr>
      </w:pPr>
      <w:r w:rsidRPr="00575EA6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C32723" wp14:editId="4EC15264">
                <wp:simplePos x="0" y="0"/>
                <wp:positionH relativeFrom="page">
                  <wp:posOffset>914400</wp:posOffset>
                </wp:positionH>
                <wp:positionV relativeFrom="paragraph">
                  <wp:posOffset>118421</wp:posOffset>
                </wp:positionV>
                <wp:extent cx="5731510" cy="2032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20320">
                              <a:moveTo>
                                <a:pt x="5731509" y="0"/>
                              </a:moveTo>
                              <a:lnTo>
                                <a:pt x="0" y="0"/>
                              </a:lnTo>
                              <a:lnTo>
                                <a:pt x="0" y="20319"/>
                              </a:lnTo>
                              <a:lnTo>
                                <a:pt x="5731509" y="20319"/>
                              </a:lnTo>
                              <a:lnTo>
                                <a:pt x="5731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28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3F805" id="Freeform: Shape 2" o:spid="_x0000_s1026" style="position:absolute;margin-left:1in;margin-top:9.3pt;width:451.3pt;height:1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" path="m5731509,l,,,20319r5731509,l5731509,xe" fillcolor="#14284b" stroked="f">
                <v:path arrowok="t"/>
                <w10:wrap type="topAndBottom" anchorx="page"/>
              </v:shape>
            </w:pict>
          </mc:Fallback>
        </mc:AlternateContent>
      </w:r>
    </w:p>
    <w:p w14:paraId="64A799F0" w14:textId="77777777" w:rsidR="00D230B0" w:rsidRPr="00575EA6" w:rsidRDefault="00D230B0" w:rsidP="0056539E">
      <w:pPr>
        <w:rPr>
          <w:b/>
          <w:sz w:val="2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7539"/>
      </w:tblGrid>
      <w:tr w:rsidR="00D230B0" w:rsidRPr="00973851" w14:paraId="1F39A391" w14:textId="77777777" w:rsidTr="00AB22B0">
        <w:trPr>
          <w:trHeight w:val="1586"/>
        </w:trPr>
        <w:tc>
          <w:tcPr>
            <w:tcW w:w="1375" w:type="dxa"/>
          </w:tcPr>
          <w:p w14:paraId="0CC981E7" w14:textId="77777777" w:rsidR="00D230B0" w:rsidRPr="00973851" w:rsidRDefault="00D230B0" w:rsidP="0056539E">
            <w:pPr>
              <w:rPr>
                <w:rFonts w:asciiTheme="minorHAnsi" w:hAnsiTheme="minorHAnsi" w:cstheme="minorHAnsi"/>
                <w:b/>
              </w:rPr>
            </w:pPr>
            <w:r w:rsidRPr="00973851">
              <w:rPr>
                <w:rFonts w:asciiTheme="minorHAnsi" w:hAnsiTheme="minorHAnsi" w:cstheme="minorHAnsi"/>
                <w:b/>
              </w:rPr>
              <w:t>You</w:t>
            </w:r>
            <w:r w:rsidRPr="0097385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973851">
              <w:rPr>
                <w:rFonts w:asciiTheme="minorHAnsi" w:hAnsiTheme="minorHAnsi" w:cstheme="minorHAnsi"/>
                <w:b/>
              </w:rPr>
              <w:t>will</w:t>
            </w:r>
            <w:r w:rsidRPr="0097385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</w:p>
        </w:tc>
        <w:tc>
          <w:tcPr>
            <w:tcW w:w="7539" w:type="dxa"/>
          </w:tcPr>
          <w:p w14:paraId="29893C1B" w14:textId="77777777" w:rsidR="0056539E" w:rsidRPr="00973851" w:rsidRDefault="0056539E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Works collaboratively and constructively.</w:t>
            </w:r>
          </w:p>
          <w:p w14:paraId="10D3B2B3" w14:textId="77777777" w:rsidR="0056539E" w:rsidRPr="00973851" w:rsidRDefault="0056539E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• Demonstrates innovation and proactive problem</w:t>
            </w:r>
            <w:r w:rsidRPr="00973851">
              <w:rPr>
                <w:rFonts w:ascii="Cambria Math" w:hAnsi="Cambria Math" w:cs="Cambria Math"/>
              </w:rPr>
              <w:t>‑</w:t>
            </w:r>
            <w:r w:rsidRPr="00973851">
              <w:rPr>
                <w:rFonts w:asciiTheme="minorHAnsi" w:hAnsiTheme="minorHAnsi" w:cstheme="minorHAnsi"/>
              </w:rPr>
              <w:t>solving.</w:t>
            </w:r>
          </w:p>
          <w:p w14:paraId="247B3D2B" w14:textId="77777777" w:rsidR="0056539E" w:rsidRPr="00973851" w:rsidRDefault="0056539E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• Provides accountable, inspirational leadership.</w:t>
            </w:r>
          </w:p>
          <w:p w14:paraId="26E660AE" w14:textId="77777777" w:rsidR="0056539E" w:rsidRPr="00973851" w:rsidRDefault="0056539E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• Displays resilience and maintains personal wellbeing.</w:t>
            </w:r>
          </w:p>
          <w:p w14:paraId="6F17C6AE" w14:textId="77777777" w:rsidR="0056539E" w:rsidRPr="00973851" w:rsidRDefault="0056539E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• Communicates effectively.</w:t>
            </w:r>
          </w:p>
          <w:p w14:paraId="7E2DE862" w14:textId="77777777" w:rsidR="0056539E" w:rsidRPr="00973851" w:rsidRDefault="0056539E" w:rsidP="0056539E">
            <w:pPr>
              <w:rPr>
                <w:rFonts w:asciiTheme="minorHAnsi" w:hAnsiTheme="minorHAnsi" w:cstheme="minorHAnsi"/>
              </w:rPr>
            </w:pPr>
            <w:r w:rsidRPr="00973851">
              <w:rPr>
                <w:rFonts w:asciiTheme="minorHAnsi" w:hAnsiTheme="minorHAnsi" w:cstheme="minorHAnsi"/>
              </w:rPr>
              <w:t>• Upholds high standards of behaviour and Te Tiriti principles.</w:t>
            </w:r>
          </w:p>
          <w:p w14:paraId="4238FC73" w14:textId="77777777" w:rsidR="00D230B0" w:rsidRPr="00973851" w:rsidRDefault="00D230B0" w:rsidP="0056539E">
            <w:pPr>
              <w:rPr>
                <w:rFonts w:asciiTheme="minorHAnsi" w:hAnsiTheme="minorHAnsi" w:cstheme="minorHAnsi"/>
              </w:rPr>
            </w:pPr>
          </w:p>
        </w:tc>
      </w:tr>
    </w:tbl>
    <w:p w14:paraId="4D7DBDBF" w14:textId="59BAEBC8" w:rsidR="008908BE" w:rsidRPr="003F2A06" w:rsidRDefault="00184F1E" w:rsidP="0056539E">
      <w:pPr>
        <w:rPr>
          <w:rFonts w:asciiTheme="minorHAnsi" w:eastAsia="Times New Roman" w:hAnsiTheme="minorHAnsi" w:cstheme="minorHAnsi"/>
          <w:lang w:val="en-NZ" w:eastAsia="en-NZ"/>
        </w:rPr>
      </w:pPr>
      <w:r w:rsidRPr="00973851">
        <w:rPr>
          <w:rFonts w:asciiTheme="minorHAnsi" w:eastAsia="Times New Roman" w:hAnsiTheme="minorHAnsi" w:cstheme="minorHAnsi"/>
          <w:lang w:val="en-NZ" w:eastAsia="en-NZ"/>
        </w:rPr>
        <w:t>This position description outlines the principal tasks and responsibilities and is not exhaustive. It may be reviewed and amended, in consultation with the job holder, to meet service needs.</w:t>
      </w:r>
    </w:p>
    <w:sectPr w:rsidR="008908BE" w:rsidRPr="003F2A06" w:rsidSect="00575EA6">
      <w:headerReference w:type="default" r:id="rId8"/>
      <w:footerReference w:type="default" r:id="rId9"/>
      <w:pgSz w:w="11910" w:h="16840"/>
      <w:pgMar w:top="1702" w:right="180" w:bottom="280" w:left="1320" w:header="1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46DB" w14:textId="77777777" w:rsidR="00901C68" w:rsidRDefault="00901C68">
      <w:r>
        <w:separator/>
      </w:r>
    </w:p>
  </w:endnote>
  <w:endnote w:type="continuationSeparator" w:id="0">
    <w:p w14:paraId="4B2B9A67" w14:textId="77777777" w:rsidR="00901C68" w:rsidRDefault="0090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1425" w14:textId="27FAA080" w:rsidR="004D6D7E" w:rsidRDefault="004D6D7E">
    <w:pPr>
      <w:pStyle w:val="Footer"/>
    </w:pPr>
    <w:r>
      <w:t xml:space="preserve">SMHS PD </w:t>
    </w:r>
    <w:r w:rsidR="001E76CE">
      <w:t>ND Operations</w:t>
    </w:r>
    <w:r>
      <w:t xml:space="preserve"> </w:t>
    </w:r>
    <w:r w:rsidR="003F2A06">
      <w:t>June 2026</w:t>
    </w:r>
  </w:p>
  <w:p w14:paraId="7B51C84C" w14:textId="77777777" w:rsidR="004D6D7E" w:rsidRDefault="004D6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29B2" w14:textId="77777777" w:rsidR="00901C68" w:rsidRDefault="00901C68">
      <w:r>
        <w:separator/>
      </w:r>
    </w:p>
  </w:footnote>
  <w:footnote w:type="continuationSeparator" w:id="0">
    <w:p w14:paraId="429497CF" w14:textId="77777777" w:rsidR="00901C68" w:rsidRDefault="0090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B0D9" w14:textId="6BDC7E24" w:rsidR="000F50C3" w:rsidRDefault="00C130DE">
    <w:pPr>
      <w:pStyle w:val="BodyText"/>
      <w:spacing w:line="14" w:lineRule="auto"/>
      <w:rPr>
        <w:sz w:val="20"/>
      </w:rPr>
    </w:pPr>
    <w:r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57728" behindDoc="1" locked="0" layoutInCell="1" allowOverlap="1" wp14:anchorId="21A5E7F5" wp14:editId="74C06643">
          <wp:simplePos x="0" y="0"/>
          <wp:positionH relativeFrom="page">
            <wp:posOffset>13003</wp:posOffset>
          </wp:positionH>
          <wp:positionV relativeFrom="paragraph">
            <wp:posOffset>-155121</wp:posOffset>
          </wp:positionV>
          <wp:extent cx="7532914" cy="1082888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914" cy="1082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56704" behindDoc="1" locked="0" layoutInCell="1" allowOverlap="1" wp14:anchorId="14200464" wp14:editId="2B55211C">
          <wp:simplePos x="0" y="0"/>
          <wp:positionH relativeFrom="column">
            <wp:posOffset>4801620</wp:posOffset>
          </wp:positionH>
          <wp:positionV relativeFrom="paragraph">
            <wp:posOffset>519067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N4zx6fVGhBFN3" int2:id="MIy3J6m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DCB"/>
    <w:multiLevelType w:val="hybridMultilevel"/>
    <w:tmpl w:val="C346ED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7C7C"/>
    <w:multiLevelType w:val="hybridMultilevel"/>
    <w:tmpl w:val="D1B80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77F9"/>
    <w:multiLevelType w:val="hybridMultilevel"/>
    <w:tmpl w:val="BEAC57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3D5A"/>
    <w:multiLevelType w:val="hybridMultilevel"/>
    <w:tmpl w:val="E27C2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92701"/>
    <w:multiLevelType w:val="hybridMultilevel"/>
    <w:tmpl w:val="03C85B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23E3"/>
    <w:multiLevelType w:val="hybridMultilevel"/>
    <w:tmpl w:val="C074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CD5E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D6EF5"/>
    <w:multiLevelType w:val="hybridMultilevel"/>
    <w:tmpl w:val="1D7099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16C4D"/>
    <w:multiLevelType w:val="hybridMultilevel"/>
    <w:tmpl w:val="2CA2A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45271"/>
    <w:multiLevelType w:val="hybridMultilevel"/>
    <w:tmpl w:val="1D826F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B6A89"/>
    <w:multiLevelType w:val="hybridMultilevel"/>
    <w:tmpl w:val="631A57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41DA6"/>
    <w:multiLevelType w:val="hybridMultilevel"/>
    <w:tmpl w:val="3D5EA7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A32BE"/>
    <w:multiLevelType w:val="hybridMultilevel"/>
    <w:tmpl w:val="DEFE50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86348">
    <w:abstractNumId w:val="5"/>
  </w:num>
  <w:num w:numId="2" w16cid:durableId="55517793">
    <w:abstractNumId w:val="9"/>
  </w:num>
  <w:num w:numId="3" w16cid:durableId="1212618459">
    <w:abstractNumId w:val="7"/>
  </w:num>
  <w:num w:numId="4" w16cid:durableId="1498230811">
    <w:abstractNumId w:val="6"/>
  </w:num>
  <w:num w:numId="5" w16cid:durableId="1194998487">
    <w:abstractNumId w:val="1"/>
  </w:num>
  <w:num w:numId="6" w16cid:durableId="165438626">
    <w:abstractNumId w:val="2"/>
  </w:num>
  <w:num w:numId="7" w16cid:durableId="1824394294">
    <w:abstractNumId w:val="11"/>
  </w:num>
  <w:num w:numId="8" w16cid:durableId="1740862246">
    <w:abstractNumId w:val="3"/>
  </w:num>
  <w:num w:numId="9" w16cid:durableId="292752450">
    <w:abstractNumId w:val="0"/>
  </w:num>
  <w:num w:numId="10" w16cid:durableId="885407085">
    <w:abstractNumId w:val="4"/>
  </w:num>
  <w:num w:numId="11" w16cid:durableId="1235239727">
    <w:abstractNumId w:val="10"/>
  </w:num>
  <w:num w:numId="12" w16cid:durableId="138054676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C3"/>
    <w:rsid w:val="00036088"/>
    <w:rsid w:val="00056852"/>
    <w:rsid w:val="00061FB3"/>
    <w:rsid w:val="0009544A"/>
    <w:rsid w:val="000F30EB"/>
    <w:rsid w:val="000F396D"/>
    <w:rsid w:val="000F50C3"/>
    <w:rsid w:val="00110677"/>
    <w:rsid w:val="0013463A"/>
    <w:rsid w:val="001759F2"/>
    <w:rsid w:val="00176EA5"/>
    <w:rsid w:val="00184F1E"/>
    <w:rsid w:val="001B54E1"/>
    <w:rsid w:val="001E001F"/>
    <w:rsid w:val="001E76CE"/>
    <w:rsid w:val="001F2C62"/>
    <w:rsid w:val="002B3A23"/>
    <w:rsid w:val="002B61E2"/>
    <w:rsid w:val="003059C1"/>
    <w:rsid w:val="00343C26"/>
    <w:rsid w:val="003578C7"/>
    <w:rsid w:val="0036529E"/>
    <w:rsid w:val="003F2A06"/>
    <w:rsid w:val="003F3A49"/>
    <w:rsid w:val="00411C11"/>
    <w:rsid w:val="004567D5"/>
    <w:rsid w:val="00465F46"/>
    <w:rsid w:val="00497D5B"/>
    <w:rsid w:val="004B32AD"/>
    <w:rsid w:val="004D6D7E"/>
    <w:rsid w:val="00510DC7"/>
    <w:rsid w:val="005235C7"/>
    <w:rsid w:val="005508EE"/>
    <w:rsid w:val="0056539E"/>
    <w:rsid w:val="00575EA6"/>
    <w:rsid w:val="00580785"/>
    <w:rsid w:val="0066220B"/>
    <w:rsid w:val="00680C22"/>
    <w:rsid w:val="00684CD6"/>
    <w:rsid w:val="006E567F"/>
    <w:rsid w:val="007055CA"/>
    <w:rsid w:val="007301C3"/>
    <w:rsid w:val="00730665"/>
    <w:rsid w:val="00741526"/>
    <w:rsid w:val="007B1420"/>
    <w:rsid w:val="007D5136"/>
    <w:rsid w:val="00803B49"/>
    <w:rsid w:val="008908BE"/>
    <w:rsid w:val="00891C47"/>
    <w:rsid w:val="008B60DB"/>
    <w:rsid w:val="008C0356"/>
    <w:rsid w:val="00901C68"/>
    <w:rsid w:val="00902965"/>
    <w:rsid w:val="00920BA5"/>
    <w:rsid w:val="00936F10"/>
    <w:rsid w:val="00966227"/>
    <w:rsid w:val="00970F67"/>
    <w:rsid w:val="00972525"/>
    <w:rsid w:val="00973851"/>
    <w:rsid w:val="009774FD"/>
    <w:rsid w:val="00994629"/>
    <w:rsid w:val="009A2073"/>
    <w:rsid w:val="009B1318"/>
    <w:rsid w:val="009C2DCC"/>
    <w:rsid w:val="00A019FB"/>
    <w:rsid w:val="00A30A92"/>
    <w:rsid w:val="00A522E9"/>
    <w:rsid w:val="00AB22B0"/>
    <w:rsid w:val="00AB5F0A"/>
    <w:rsid w:val="00AF4BE6"/>
    <w:rsid w:val="00AF676F"/>
    <w:rsid w:val="00B21BE3"/>
    <w:rsid w:val="00B2C4AD"/>
    <w:rsid w:val="00B301BA"/>
    <w:rsid w:val="00B36746"/>
    <w:rsid w:val="00B70381"/>
    <w:rsid w:val="00BB72D3"/>
    <w:rsid w:val="00BD366C"/>
    <w:rsid w:val="00C05CC5"/>
    <w:rsid w:val="00C130DE"/>
    <w:rsid w:val="00C51BD4"/>
    <w:rsid w:val="00CB319A"/>
    <w:rsid w:val="00D230B0"/>
    <w:rsid w:val="00DA7BEB"/>
    <w:rsid w:val="00E322D0"/>
    <w:rsid w:val="00E7377A"/>
    <w:rsid w:val="00EE6375"/>
    <w:rsid w:val="00F32094"/>
    <w:rsid w:val="00FC326B"/>
    <w:rsid w:val="00FD43B0"/>
    <w:rsid w:val="01347C2F"/>
    <w:rsid w:val="0164E346"/>
    <w:rsid w:val="04D2805E"/>
    <w:rsid w:val="0A746BB0"/>
    <w:rsid w:val="10E43FF3"/>
    <w:rsid w:val="147B2F9E"/>
    <w:rsid w:val="1787AF72"/>
    <w:rsid w:val="1A2A4ECA"/>
    <w:rsid w:val="1B284BB1"/>
    <w:rsid w:val="1CCAA905"/>
    <w:rsid w:val="1D5E5CD0"/>
    <w:rsid w:val="223C6684"/>
    <w:rsid w:val="23BC64FF"/>
    <w:rsid w:val="26F77E39"/>
    <w:rsid w:val="276C0C0E"/>
    <w:rsid w:val="28F46B60"/>
    <w:rsid w:val="29B620BF"/>
    <w:rsid w:val="30644F16"/>
    <w:rsid w:val="30ED559B"/>
    <w:rsid w:val="3850184C"/>
    <w:rsid w:val="3896A83D"/>
    <w:rsid w:val="3BD3AF80"/>
    <w:rsid w:val="3BE231CF"/>
    <w:rsid w:val="3F23A3DF"/>
    <w:rsid w:val="3FD90505"/>
    <w:rsid w:val="41ABF8AF"/>
    <w:rsid w:val="428846C0"/>
    <w:rsid w:val="44238DFB"/>
    <w:rsid w:val="4503EC2D"/>
    <w:rsid w:val="4674461E"/>
    <w:rsid w:val="46810CFD"/>
    <w:rsid w:val="47AF8CA3"/>
    <w:rsid w:val="4D353B30"/>
    <w:rsid w:val="5289B135"/>
    <w:rsid w:val="52D55B7B"/>
    <w:rsid w:val="53F357A6"/>
    <w:rsid w:val="55A9FABC"/>
    <w:rsid w:val="55E16650"/>
    <w:rsid w:val="56895552"/>
    <w:rsid w:val="56B6724C"/>
    <w:rsid w:val="59FA8246"/>
    <w:rsid w:val="5DA29351"/>
    <w:rsid w:val="60CA8650"/>
    <w:rsid w:val="67DDEE4D"/>
    <w:rsid w:val="692C5BEF"/>
    <w:rsid w:val="6951F0D2"/>
    <w:rsid w:val="69DE9DC7"/>
    <w:rsid w:val="6BF23C74"/>
    <w:rsid w:val="6BFCC7F2"/>
    <w:rsid w:val="70C24907"/>
    <w:rsid w:val="7174B317"/>
    <w:rsid w:val="77026220"/>
    <w:rsid w:val="7AE68A72"/>
    <w:rsid w:val="7FEFA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DB8D"/>
  <w15:docId w15:val="{74647251-FB2E-43C8-8988-264618B4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"/>
      <w:ind w:left="120"/>
    </w:pPr>
    <w:rPr>
      <w:b/>
      <w:bCs/>
      <w:sz w:val="40"/>
      <w:szCs w:val="40"/>
    </w:rPr>
  </w:style>
  <w:style w:type="paragraph" w:styleId="ListParagraph">
    <w:name w:val="List Paragraph"/>
    <w:aliases w:val="Bullet Normal,List Paragraph numbered,Body,Level 3,List Paragraph1,List Bullet indent,List 1,Other List,Quotations,List Paragraph11,TOC style,lp1,Bullet OSM,Proposal Bullet List,Bullets,Rec para,Dot pt,F5 List Paragraph,No Spacing1,L,列出段落"/>
    <w:basedOn w:val="Normal"/>
    <w:link w:val="ListParagraphChar"/>
    <w:uiPriority w:val="34"/>
    <w:qFormat/>
    <w:pPr>
      <w:ind w:left="2676" w:hanging="360"/>
    </w:pPr>
  </w:style>
  <w:style w:type="paragraph" w:customStyle="1" w:styleId="TableParagraph">
    <w:name w:val="Table Paragraph"/>
    <w:basedOn w:val="Normal"/>
    <w:uiPriority w:val="1"/>
    <w:qFormat/>
    <w:pPr>
      <w:ind w:left="1107"/>
    </w:pPr>
  </w:style>
  <w:style w:type="character" w:styleId="CommentReference">
    <w:name w:val="annotation reference"/>
    <w:basedOn w:val="DefaultParagraphFont"/>
    <w:uiPriority w:val="99"/>
    <w:semiHidden/>
    <w:unhideWhenUsed/>
    <w:rsid w:val="0066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20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20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2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0B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0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Bullet Normal Char,List Paragraph numbered Char,Body Char,Level 3 Char,List Paragraph1 Char,List Bullet indent Char,List 1 Char,Other List Char,Quotations Char,List Paragraph11 Char,TOC style Char,lp1 Char,Bullet OSM Char,Dot pt Char"/>
    <w:basedOn w:val="DefaultParagraphFont"/>
    <w:link w:val="ListParagraph"/>
    <w:uiPriority w:val="34"/>
    <w:qFormat/>
    <w:locked/>
    <w:rsid w:val="008B60DB"/>
    <w:rPr>
      <w:rFonts w:ascii="Calibri" w:eastAsia="Calibri" w:hAnsi="Calibri" w:cs="Calibri"/>
    </w:rPr>
  </w:style>
  <w:style w:type="paragraph" w:customStyle="1" w:styleId="Default">
    <w:name w:val="Default"/>
    <w:rsid w:val="00BD366C"/>
    <w:pPr>
      <w:widowControl/>
      <w:adjustRightInd w:val="0"/>
    </w:pPr>
    <w:rPr>
      <w:rFonts w:ascii="Wingdings" w:hAnsi="Wingdings" w:cs="Wingdings"/>
      <w:color w:val="000000"/>
      <w:sz w:val="24"/>
      <w:szCs w:val="24"/>
      <w:lang w:val="en-NZ"/>
    </w:rPr>
  </w:style>
  <w:style w:type="paragraph" w:customStyle="1" w:styleId="msonospacing0">
    <w:name w:val="msonospacing"/>
    <w:uiPriority w:val="99"/>
    <w:rsid w:val="00A30A92"/>
    <w:pPr>
      <w:widowControl/>
      <w:autoSpaceDE/>
      <w:autoSpaceDN/>
    </w:pPr>
    <w:rPr>
      <w:rFonts w:ascii="Calibri" w:eastAsia="Times New Roman" w:hAnsi="Calibri" w:cs="Times New Roman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130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0D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3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0DE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0568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1C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6E0A-756E-4B70-9937-7AD2D490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District Health Board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Sewell</dc:creator>
  <cp:lastModifiedBy>Patsy Tarrant</cp:lastModifiedBy>
  <cp:revision>2</cp:revision>
  <cp:lastPrinted>2025-03-16T23:22:00Z</cp:lastPrinted>
  <dcterms:created xsi:type="dcterms:W3CDTF">2026-06-02T05:09:00Z</dcterms:created>
  <dcterms:modified xsi:type="dcterms:W3CDTF">2026-06-02T05:09:00Z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for Microsoft 365</vt:lpwstr>
  </property>
</Properties>
</file>